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projekta sākotnējās ietekmes (</w:t>
            </w:r>
            <w:r w:rsidR="00000000" w:rsidRPr="00000000" w:rsidDel="00000000">
              <w:rPr>
                <w:i w:val="1"/>
                <w:rtl w:val="0"/>
              </w:rPr>
              <w:t xml:space="preserve">ex-ante</w:t>
            </w:r>
            <w:r w:rsidR="00000000" w:rsidRPr="00000000" w:rsidDel="00000000">
              <w:rPr>
                <w:rtl w:val="0"/>
              </w:rPr>
              <w:t xml:space="preserve">) novērtējuma ziņojuma (anotācijas) 8.13.sadaļu atbilstoši projekta 9.1.1. un 9.1.2.apakšpunktā norādītajām no Fizisko personu reģistra saņemamajām ziņām par to, vai personai, viņas laulātajam vai bērnam nav reģistrēts miršanas datums.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