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25-TA-2124: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Administratīvā procesa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Datu valsts inspekcija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12.11.2025.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67. panta otrās daļas 2.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adresāts (fiziskajai personai – vārds, uzvārds, kā arī citas ziņas, kas palīdz identificēt personu; juridiskajai personai – nosaukums un reģistrācijas numurs);".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 plānotajiem grozījumiem Administratīvā procesa likuma (turpmāk - APL) 67. panta otrās daļas 2.punktā izriet, ka attiecībā uz adresātu - fizisku personu - administratīvajā aktā norādāms personas vārds, uzvārds, kā arī citas ziņas, kas palīdz identificēt personu.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Vēršam uzmanību, ka atbilstoši Datu regulas 5. panta 1. punkta a) apakšpunktam personas dati tiek apstrādāti likumīgi, godprātīgi un datu subjektam pārredzamā veidā, kā arī c) apakšpunktam - personas dati ir adekvāti, atbilstīgi un ietver tikai to, kas nepieciešams to apstrādes nolūkos.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Ņemot vērā, ka tiesību norma nenoteic, kas ir saprotams ar citām ziņām, kas palīdz identificēt personu un kādos gadījumos tās tiks apstrādātas, lūdzam precizēt 67. panta otrās daļas 2.punktu uzskaitot citas papildu ziņas, ar kurām identificēs personu (personas kods vai dzīvesvietas adrese) vai norādot, ka šādas papildu ziņas par personu administratīvajā aktā norādāmas tikai tad, ja identifikācija ar vārdu un uzvārdu nav iespējama (piemēram, vārda un uzvārda sakritības gadījumā).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Izteikt 108. panta septīto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Persona, kas nav administratīvā procesa dalībnieks, sabiedriski nozīmīgā lietā vai žurnālists (normatīvo aktu par presi un citiem masu informācijas līdzekļiem izpratnē) ar tiesas atļauju tiesas sēdes laikā var veikt ierakstu. Pirms šā jautājuma izlemšanas tiesa uzklausa administratīvā procesa dalībnieku un citu procesā iesaistīto personu viedokļus. Motivētu lūgumu fiksēt tiesas sēdes gaitu, izmantojot ierakstu, iesniedz tiesā savlaicīgi pirms tiesas sēdes."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Ar grozījumiem paredzēts izteikt Administratīvā procesa likuma 108. panta septīto daļu jaunā redakcijā, nosakot, ka persona, kas nav procesa dalībnieks vai žurnālists </w:t>
            </w:r>
            <w:r w:rsidR="00000000" w:rsidRPr="00000000" w:rsidDel="00000000">
              <w:rPr>
                <w:u w:val="single"/>
                <w:rtl w:val="0"/>
              </w:rPr>
              <w:t xml:space="preserve">sabiedriski nozīmīgā lietā</w:t>
            </w:r>
            <w:r w:rsidR="00000000" w:rsidRPr="00000000" w:rsidDel="00000000">
              <w:rPr>
                <w:rtl w:val="0"/>
              </w:rPr>
              <w:t xml:space="preserve"> ar tiesas atļauju varēs veikt ierakstu. Konceptuāli Datu valsts inspekcija neiebilst, ka tiek ierobežots to personu loks, kas būs tiesīgas veikt tiesas sēdes ierakstu, tomēr jēdziens "sabiedriski nozīmīga lieta" kā ģenerālklauzula nav viennozīmīgi skaidrs un saprotams tā saturs. Proti, kā tiesa novērtēs, kura lieta ir sabiedriski nozīmīga un kura nē. Ņemot vērā minēto, aicinām izvērtēt nepieciešamību un pamatojumu tiesību normā iekļaut jēdzienu "sabiedriski nozīmīga lieta", aizstājot to ar skaidrākiem kritērijiem, kādos gadījumos tiesa var atļaut ierakstu.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Tāpat, ievērojot esošajā redakcijā norādīto, aicinām saglabāt norādi iekavās par ierakstu veidiem, proti, var veikt ierakstu ((lietot skaņas vai attēla ieraksta un pārraides tehniku).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Ieva Žeimunde (DVI)</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25-TA-2124</w:t>
    </w:r>
    <w:r>
      <w:br/>
    </w:r>
    <w:r w:rsidR="00000000" w:rsidRPr="00000000" w:rsidDel="00000000">
      <w:rPr>
        <w:rtl w:val="0"/>
      </w:rPr>
      <w:t xml:space="preserve">Izdrukāts 11.11.2025. 12.31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25-TA-2124</w:t>
    </w:r>
    <w:r>
      <w:br/>
    </w:r>
    <w:r w:rsidR="00000000" w:rsidRPr="00000000" w:rsidDel="00000000">
      <w:rPr>
        <w:rtl w:val="0"/>
      </w:rPr>
      <w:t xml:space="preserve">Izdrukāts 11.11.2025. 12.31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Atzinumi_25-TA-2124.docx</dc:title>
</cp:coreProperties>
</file>

<file path=docProps/custom.xml><?xml version="1.0" encoding="utf-8"?>
<Properties xmlns="http://schemas.openxmlformats.org/officeDocument/2006/custom-properties" xmlns:vt="http://schemas.openxmlformats.org/officeDocument/2006/docPropsVTypes"/>
</file>