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izpratnē par valsts apdraudējumu uzskatāms tikai īpaši augsts terorisma draudu līmenis, ja ir noticis terora akts vai terora akts vairs nav novēršams elektroenerģijas vai dabasgāzes apgādē.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22.panta "Valsts apdraudējums" pirmajā daļā noteikts, ka "atkarībā no valsts apdraudējuma veida, tā intensitātes un rakstura, kā arī apdraudētās teritorijas lieluma nosaka atbilstošu terorisma draudu līmeni, kā arī likumā noteiktajā kārtībā var izsludināt pastiprinātu robežapsardzības sistēmas darbības režīmu, ārkārtējo situāciju vai izņēmuma stāvokli". Šā likuma 22.</w:t>
            </w:r>
            <w:r w:rsidR="00000000" w:rsidRPr="00000000" w:rsidDel="00000000">
              <w:rPr>
                <w:vertAlign w:val="superscript"/>
                <w:rtl w:val="0"/>
              </w:rPr>
              <w:t xml:space="preserve">1</w:t>
            </w:r>
            <w:r w:rsidR="00000000" w:rsidRPr="00000000" w:rsidDel="00000000">
              <w:rPr>
                <w:rtl w:val="0"/>
              </w:rPr>
              <w:t xml:space="preserve"> panta pirmajā daļā noteikti četri terorisma draudu līmeņi (zems, paaugstināts, augsts, īpaši augsts).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projekta sākotnējās ietekmes novērtējuma ziņojumu (anotāciju) ar skaidrojumu, kāpēc projekts attiecināms tikai uz valsts apdraudējuma veidu - īpaši augsts terorisma draudu līmenis.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 vārdiem "izsludinātas enerģētiskās krīzes laikā" ar vārdiem "un valsts apdraudējuma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03.05.2024.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03.05.2024.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Atzinumi_24-TA-215.docx</dc:title>
</cp:coreProperties>
</file>

<file path=docProps/custom.xml><?xml version="1.0" encoding="utf-8"?>
<Properties xmlns="http://schemas.openxmlformats.org/officeDocument/2006/custom-properties" xmlns:vt="http://schemas.openxmlformats.org/officeDocument/2006/docPropsVTypes"/>
</file>