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sociālās apdrošināšanas obligātajām iemaksām no valsts pamatbudžeta par diplomātiskā un konsulārā dienesta amatpersonu (darbinieku), karavīru, Eirojusta pārstāvju un sakaru virsnieku, kuri uzturas ārvalstīs, laulātajiem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turpmākajos gados var mainīties gan specializēto atašeju skaits, gan to dzīvesbiedru skaits, kuri atrodas ārvalstīs, kā arī ņemot vērā, ka aprēķini tika veikti laikā, kad Izglītības un zinātnes ministrijai nebija pieejama informācija par papildu nepieciešamo finansējumu, lūgums papildināt Anotāciju pie Citas informācijas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neparedzēti uzrodas laulātais kārtējam gadam, kurš atrodas ārvalstīs un par kuru ir jāveic valsts sociālās apdrošināšanas obligātās iemaksas valsts pensiju apdrošināšanai un sociālajai apdrošināšanai bezdarba gadījumam, ministrija var pieprasīt papildu finansējumu no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Anča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23.03.2023.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23.03.2023.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Atzinumi_22-TA-1135.docx</dc:title>
</cp:coreProperties>
</file>

<file path=docProps/custom.xml><?xml version="1.0" encoding="utf-8"?>
<Properties xmlns="http://schemas.openxmlformats.org/officeDocument/2006/custom-properties" xmlns:vt="http://schemas.openxmlformats.org/officeDocument/2006/docPropsVTypes"/>
</file>