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20. janvāra noteikumos Nr. 54 "Dekoratīvo augu pavairojamā materiāla atbilstības kritēriji un aprites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5.punkta 1.tabulā iekļauto informāciju par </w:t>
            </w:r>
            <w:r w:rsidR="00000000" w:rsidRPr="00000000" w:rsidDel="00000000">
              <w:rPr>
                <w:i w:val="1"/>
                <w:rtl w:val="0"/>
              </w:rPr>
              <w:t xml:space="preserve">Komisijas 2022. gada 12. decembra Īstenošanas direktīvas (ES) 2022/2438, ar ko attiecībā uz Savienības reglamentētajiem nekarantīnas kaitīgajiem organismiem uz dekoratīvo augu pavairošanas materiāla, augļaugu pavairošanas materiāla un uz augļu ražošanai paredzētiem augļaugiem groza Direktīvu 93/49/EEK un Īstenošanas direktīvu 2014/98/ES</w:t>
            </w:r>
            <w:r w:rsidR="00000000" w:rsidRPr="00000000" w:rsidDel="00000000">
              <w:rPr>
                <w:rtl w:val="0"/>
              </w:rPr>
              <w:t xml:space="preserve"> (turpmāk - direktīva) 3. panta 1.punkta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"norma netiek pārņemta, jo ir noteikta direktīvas spēkā stāšanās kārtība". Tomēr vēršam uzmanību uz to, ka direktīvas 3. panta 1.punkta otrais teikums paredz dalībvalsts pienākumu pieņemot pārņemšanas noteikumus, tajos ietvert atsauci uz direktīvu vai šādu atsauci pievieno to oficiālajai publikācijai.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dirketīvas norma ir pārņemta ar noteikumu projekta 1.punktu, kas papildina noteikumus ar informatīvo atsauci uz Eiropas Savienības direktīvu. Tas attiecīgi jānorāda anotācijas 5.punkta 1.tabulā.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anotāciju atbilstoši juridiskās tehnikas prasībām, ievērojot, ka saīsinājumus piesaka pirmajā vietā juridiskajā tekstā, kur lietots attiecīgais saīsināmais jēdziens vai termins. Tāpat pieteiktie saīsinājumi konsekventi lietojami tālāk dokumenta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tostarp uz terminu "Eiropas Savienība" un tā nepieteikto saīsinājumu "ES", saīsinājums "RNKO", kā arī notācijas 6.3. apakšpunktā pieteikto saīsinājums "nevalstiskās organizācijas", ņemot vērā, ka biedrības, uz kurām tiek attiecināts saīsinājums, pirmo reizi uzskaitītas anotācijas 6.1. 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4.punktu, papildinot ar informāciju, vai šajā punktā minētie grozījumi Ministru kabineta 2017. gada 7. februāra noteikumos Nr. 76 "Augļu koku un ogulāju pavairošanas materiāla atbilstības kritēriju un aprites noteikumi" tiek virzīti vienlaikus ar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pārņemot direktīvas prasības, paredz izteikt jaunā redakcijā  Ministru kabineta 2009. gada 20. janvāra noteikumu Nr. 54 "Dekoratīvo augu pavairojamā materiāla atbilstības kritēriji un aprites kārtība"  2. pielikumu. Ņemot vērā, ka notiekumu 2.pielikumā iepriekš ir pārņemtas arī citas Eiropas Savienības dirketīvu prasības, lūdzam papildināt noteikumu projekta anotācijas 5.punktu (piemēram, sadaļu "Cita informācija") ar ziņām par to, ka minētās iepriekš pārņemtās no direktīvām izrietošās prasības netiek ietekmētas, t.i., skaidrot, vai nerodas direktīvu nepārņemšanas risks. Nepieciešamības gadījumā lūdzam papildināt anotācijas 5.punkta 1.tabulu ar informāciju par citu Eiropas Savienības direktīvu normu pārņemšanu notiekumu 2.pielikumā.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22-TA-3262</w:t>
    </w:r>
    <w:r>
      <w:br/>
    </w:r>
    <w:r w:rsidR="00000000" w:rsidRPr="00000000" w:rsidDel="00000000">
      <w:rPr>
        <w:rtl w:val="0"/>
      </w:rPr>
      <w:t xml:space="preserve">Izdrukāts 30.01.2023.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22-TA-3262</w:t>
    </w:r>
    <w:r>
      <w:br/>
    </w:r>
    <w:r w:rsidR="00000000" w:rsidRPr="00000000" w:rsidDel="00000000">
      <w:rPr>
        <w:rtl w:val="0"/>
      </w:rPr>
      <w:t xml:space="preserve">Izdrukāts 30.01.2023.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Atzinumi_22-TA-3262.docx</dc:title>
</cp:coreProperties>
</file>

<file path=docProps/custom.xml><?xml version="1.0" encoding="utf-8"?>
<Properties xmlns="http://schemas.openxmlformats.org/officeDocument/2006/custom-properties" xmlns:vt="http://schemas.openxmlformats.org/officeDocument/2006/docPropsVTypes"/>
</file>