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 2023. gada 23. jūnijā ir oficiāli pieņēmusi KOMISIJAS REGULU (ES) 2023/1315 (2023. gada 23. jūnijs), ar kuru groza Regulu (ES) Nr. 651/2014, ar ko noteiktas atbalsta kategorijas atzīst par saderīgām ar iekšējo tirgu, piemērojot Līguma 107. un 108. pantu, un Regulu (ES) 2022/2473, ar kuru, piemērojot Līguma 107. un 108. pantu, dažu kategoriju atbalstu uzņēmumiem, kas nodarbojas ar zvejas un akvakultūras produktu ražošanu, apstrādi un tirdzniecību, atzīst par saderīgu ar iekšējo tirgu https://eur-lex.europa.eu/legal-content/EN/TXT/?uri=uriserv%3AOJ.L_.2023.167.01.0001.01.ENG&amp;toc=OJ%3AL%3A2023%3A167%3ATOC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skaidrojumu anotācijā attiecībā uz grozījumiem regulā.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tabulā sniegto atbilstības izvērtējumu Komisijas regulas Nr. 651/2014 27. pantam, nodrošinot atbilstības izvērtējumu pret katru no Komisijas regulas Nr. 651/2014 27. panta punktiem, nevis pantu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w:t>
            </w:r>
            <w:r w:rsidR="00000000" w:rsidRPr="00000000" w:rsidDel="00000000">
              <w:rPr>
                <w:vertAlign w:val="superscript"/>
                <w:rtl w:val="0"/>
              </w:rPr>
              <w:t xml:space="preserve">2</w:t>
            </w:r>
            <w:r w:rsidR="00000000" w:rsidRPr="00000000" w:rsidDel="00000000">
              <w:rPr>
                <w:rtl w:val="0"/>
              </w:rPr>
              <w:t xml:space="preserve"> nodrošināt Eiropas digitālās inovācijas centram sniegtā atbalsta uzskaiti, ievērojot kārtību, ka sākotnējo un otrreizējo digitālā brieduma testu gala labuma guvējam veicot patstāvīgi un ceļa karti saņemot automātiski publiski pieejamā platformā, ko izveidojis Eiropas digitālais inovācijas centrs, sniegtais atbalsts uzskatāms par komercdarbības atbalstu Eiropas digitālās inovācijas centram saskaņā ar šo noteikumu 31.3.1. apakšpunktā noteiktajām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w:t>
            </w:r>
            <w:r w:rsidR="00000000" w:rsidRPr="00000000" w:rsidDel="00000000">
              <w:rPr>
                <w:i w:val="1"/>
                <w:rtl w:val="0"/>
              </w:rPr>
              <w:t xml:space="preserve">Vienlaikus ar Noteikumu projektu MK noteikumos Nr. 577 projektā ir iekļauts 36.13.</w:t>
            </w:r>
            <w:r w:rsidR="00000000" w:rsidRPr="00000000" w:rsidDel="00000000">
              <w:rPr>
                <w:i w:val="1"/>
                <w:vertAlign w:val="superscript"/>
                <w:rtl w:val="0"/>
              </w:rPr>
              <w:t xml:space="preserve">2</w:t>
            </w:r>
            <w:r w:rsidR="00000000" w:rsidRPr="00000000" w:rsidDel="00000000">
              <w:rPr>
                <w:i w:val="1"/>
                <w:rtl w:val="0"/>
              </w:rPr>
              <w:t xml:space="preserve"> apakšpunkts, nosakot, ka Eiropas ja sākotnējais un otrreizējais digitālā brieduma tests ir pieejams un izpildāms publiski pieejamā platformā, ko izveidojis Eiropas digitālās inovācijas centram 2.2.1.2.i. investīcijas ietvaros nepieciešams nodrošināt Eiropas digitālās inovācijas centram sniegtā atbalsta uzskaiti, ievērojot kārtību, kad sākotnējo un otrreizējo digitālā brieduma testu centrs, gala labuma guvējam digitālā brieduma testu veicot  patstāvīgi un ceļa karti saņemot automātiski publiski pieejamā platformā, ko izveidojis Eiropas digitālais inovācijas centrs, sniegtais atbalsts, tad sniegtais atbalsts nav uzskatāms par komercdarbības atbalstu Eiropas digitālās inovācijas centram saskaņā ar šo noteikumu 31.3.1. apakšpunktā noteiktajām attiecināmajām izmaksām. Vienlaikus, vienlaikus šos gala labuma guvējus uzskaitot MK noteikumu Nr. 577 10. punktā noteiktajos rādītājos. Savukārt, saskaņā ar MK noteikumu Nr. 577 iekļauto 36.20. apakšpunktu - ja sākotnējo un otrreizējo digitālā brieduma testu un ceļa karti gala labuma guvējs ir izpildījis kopā ar Eiropas digitālās inovācijas centra ekspertu, tad sniegtais atbalsts ir uzskatāms par komercdarbības atbalstu gala labuma guvējam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sākotnējo un otrreizējo digitālā brieduma testu gala labuma guvējam patstāvīgi un ceļa karti saņemot automātiski bez maksas publiski pieejamā platformā, par šādām aktivitātēm publiskie resursi nevar tikt piešķirti Eiropas digitālās inovācijas centram pasākuma ietvaros, jo digitālā brieduma testa instruments jau ir izstrādāts un tiek lietots pirms projekta pieteikuma iesniegšanas Eiropas Komisijā. Attiecīgi, tā kā atbalsts nevar tikt piešķirts, tas arī nav uzskatāms par komercdarbības atbalstu Eiropas digitālās inovācijas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noteikumus vai nu precizējot šo normu, vai svītrojot 36.13.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atsauci, jo noteikumi nesatur 31.3.1.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Pirms komercdarbības atbalsta piešķiršanas Eiropas digitālās inovācijas centram kā inovācijas kopai veicama atbilstības pārbaude šo noteikumu </w:t>
            </w:r>
            <w:r w:rsidR="00000000" w:rsidRPr="00000000" w:rsidDel="00000000">
              <w:rPr>
                <w:rtl w:val="0"/>
              </w:rPr>
              <w:t xml:space="preserve">57.4.</w:t>
            </w:r>
            <w:r w:rsidR="00000000" w:rsidRPr="00000000" w:rsidDel="00000000">
              <w:rPr>
                <w:rtl w:val="0"/>
              </w:rPr>
              <w:t xml:space="preserve">, </w:t>
            </w:r>
            <w:r w:rsidR="00000000" w:rsidRPr="00000000" w:rsidDel="00000000">
              <w:rPr>
                <w:rtl w:val="0"/>
              </w:rPr>
              <w:t xml:space="preserve">57.5.</w:t>
            </w:r>
            <w:r w:rsidR="00000000" w:rsidRPr="00000000" w:rsidDel="00000000">
              <w:rPr>
                <w:rtl w:val="0"/>
              </w:rPr>
              <w:t xml:space="preserve">, </w:t>
            </w:r>
            <w:r w:rsidR="00000000" w:rsidRPr="00000000" w:rsidDel="00000000">
              <w:rPr>
                <w:rtl w:val="0"/>
              </w:rPr>
              <w:t xml:space="preserve">57.6.</w:t>
            </w:r>
            <w:r w:rsidR="00000000" w:rsidRPr="00000000" w:rsidDel="00000000">
              <w:rPr>
                <w:rtl w:val="0"/>
              </w:rPr>
              <w:t xml:space="preserve">, </w:t>
            </w:r>
            <w:r w:rsidR="00000000" w:rsidRPr="00000000" w:rsidDel="00000000">
              <w:rPr>
                <w:rtl w:val="0"/>
              </w:rPr>
              <w:t xml:space="preserve">57.7.</w:t>
            </w:r>
            <w:r w:rsidR="00000000" w:rsidRPr="00000000" w:rsidDel="00000000">
              <w:rPr>
                <w:rtl w:val="0"/>
              </w:rPr>
              <w:t xml:space="preserve">, </w:t>
            </w:r>
            <w:r w:rsidR="00000000" w:rsidRPr="00000000" w:rsidDel="00000000">
              <w:rPr>
                <w:rtl w:val="0"/>
              </w:rPr>
              <w:t xml:space="preserve">57.8.</w:t>
            </w:r>
            <w:r w:rsidR="00000000" w:rsidRPr="00000000" w:rsidDel="00000000">
              <w:rPr>
                <w:rtl w:val="0"/>
              </w:rPr>
              <w:t xml:space="preserve">, </w:t>
            </w:r>
            <w:r w:rsidR="00000000" w:rsidRPr="00000000" w:rsidDel="00000000">
              <w:rPr>
                <w:rtl w:val="0"/>
              </w:rPr>
              <w:t xml:space="preserve">57.9.</w:t>
            </w:r>
            <w:r w:rsidR="00000000" w:rsidRPr="00000000" w:rsidDel="00000000">
              <w:rPr>
                <w:rtl w:val="0"/>
              </w:rPr>
              <w:t xml:space="preserve">, </w:t>
            </w:r>
            <w:r w:rsidR="00000000" w:rsidRPr="00000000" w:rsidDel="00000000">
              <w:rPr>
                <w:rtl w:val="0"/>
              </w:rPr>
              <w:t xml:space="preserve">57.10.</w:t>
            </w:r>
            <w:r w:rsidR="00000000" w:rsidRPr="00000000" w:rsidDel="00000000">
              <w:rPr>
                <w:rtl w:val="0"/>
              </w:rPr>
              <w:t xml:space="preserve">, </w:t>
            </w:r>
            <w:r w:rsidR="00000000" w:rsidRPr="00000000" w:rsidDel="00000000">
              <w:rPr>
                <w:rtl w:val="0"/>
              </w:rPr>
              <w:t xml:space="preserve">57.11.</w:t>
            </w:r>
            <w:r w:rsidR="00000000" w:rsidRPr="00000000" w:rsidDel="00000000">
              <w:rPr>
                <w:rtl w:val="0"/>
              </w:rPr>
              <w:t xml:space="preserve"> un </w:t>
            </w:r>
            <w:r w:rsidR="00000000" w:rsidRPr="00000000" w:rsidDel="00000000">
              <w:rPr>
                <w:rtl w:val="0"/>
              </w:rPr>
              <w:t xml:space="preserve">57.12. </w:t>
            </w:r>
            <w:r w:rsidR="00000000" w:rsidRPr="00000000" w:rsidDel="00000000">
              <w:rPr>
                <w:rtl w:val="0"/>
              </w:rPr>
              <w:t xml:space="preserve">apakšpunktā</w:t>
            </w:r>
            <w:r w:rsidR="00000000" w:rsidRPr="00000000" w:rsidDel="00000000">
              <w:rPr>
                <w:rtl w:val="0"/>
              </w:rPr>
              <w:t xml:space="preserve"> minētajām neatbalstāmajām nozarēm un darbībām.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tā, lai skaidrs, ka Eiropas digitālās inovācijas centrs de minimis atbalstu piešķir gala labuma guvējam.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noteiktajā gadījumā inovācijas kopas koordinatoram saskaņā ar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veiktajām darbībām ir pienākums atmaksāt Centrālajai finanšu un līgumu aģentūrai visu projekta ietvaros gala labuma guvējam izmaksāto </w:t>
            </w:r>
            <w:r w:rsidR="00000000" w:rsidRPr="00000000" w:rsidDel="00000000">
              <w:rPr>
                <w:i w:val="1"/>
                <w:rtl w:val="0"/>
              </w:rPr>
              <w:t xml:space="preserve">de minimis </w:t>
            </w:r>
            <w:r w:rsidR="00000000" w:rsidRPr="00000000" w:rsidDel="00000000">
              <w:rPr>
                <w:rtl w:val="0"/>
              </w:rPr>
              <w:t xml:space="preserve">atbalstu kopā ar procentiem un pēc tam atgūt to no gala labuma guvēja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69. punktu, jo nav skaidra tajā ietvertās atsauces uz noteikumu projekta 38. punktu nepieciešamība, kā arī, lai novērstu nekorektas interpretācijas risku, ka pēc tam, kad inovācijas kopas koordinators atmaksās Centrālajai finanšu un līgumu aģentūrai visu projekta ietvaros gala labuma guvējam izmaksāto de minimis atbalstu kopā ar procentiem, būs jāturpina uzrēķināt nelikumīga komercdarbības atbalsta procentus nelikumīga komercdarbības atbalsta apmēram līdz brīdim, kamēr gala labuma guvējs neatmaksās to pilnībā. Papildus attiecīgi aicinām izvērtēt iespēju apvienot noteikumu projekta 69. punktu ar 68. punktu, jo pēc būtības tie daļēji pārklājas, kā arī atsauci uz Komercdarbības atbalsta kontroles likuma IV vai V nodaļā minētajiem nosacījumiem attiecināt tikai attiecībā uz pienākumu inovācijas kopas koordinatoram saņemto komercdarbības atbalstu atmaksāt Centrālajai finanšu un līgumu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07.07.2023.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07.07.2023.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