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izvērstāk pamatot anotācijā uz atkārtoto saskaņošanu veiktās izmaiņas noteikumu 2. punktā attiecībā uz finansējuma apmēru, īpaši ņemot vērā, ka, piemēram, finansējums augkopības attīstībai tiek samazināts gandrīz uz pusi, bet tirgus veicināšanai palielināts finansējums gandrīz par pusmiljonu eiro. Lūdzam arī izvērstāk skaidrot, par kādu papildu finansējumu ir runa no noteikumu tvēruma izslēgto pasākumu finansēšanai un kā tie turpmāk tiks atbalstīti, tostarp skaidrojot, kāds normatīvais regulējums tiek vai tiks izstrādāts.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pretendentam, ko Lauku atbalsta dienests atbilstoši normatīvajiem aktiem par kārtību, kādā piešķir, administrē un uzrauga valsts un Eiropas Savienības atbalstu lauku un zivsaimniecības attīstībai, ir izslēdzis no atbalsta saņēmēju loka.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ir projekta 4.punktā (noteikumu 7.4. apakšpunktā) un citviet projektā minētie "normatīvie akti par kārtību, kādā piešķir, administrē un uzrauga valsts un Eiropas Savienības atbalstu lauku un zivsaimniecības attīstībai", tai skaitā, vai attiecīgais normatīvais akts ir stājies spēkā. Vēršam uzmanību, ka saskaņā ar Ministru kabineta 2009. gada 3. februāra noteikumu Nr. 108 "Normatīvo aktu projektu sagatavošanas noteikumi" 136. punktu noteikumu projektā neietver atsau­ces uz normatīvo aktu vai normatīvo aktu, kas vēl nav stājies spēkā. Atsaucē var norādīt uz normatīvo aktu, kas vēl nav stājies spēkā, ja tas stāsies spēkā pirms noteikumu projekta stāšanās spēkā vai vienlaikus ar to. Ja ar atsauci domāts Ministru kabineta noteikumu projekts "Valsts un Eiropas Savienības atbalsta piešķiršanas, administrēšanas un uzraudzības vispārējā kārtība lauku un zivsaimniecības attīstībai" (22-TA-3069), saskaņā ar Ministru kabineta 2023. gada 7. februāra sēdes protokolu Nr. 6 20. § jautājuma izskatīšana ir atlikta. Attiecīgi lūdzam sniegt skaidrojumu un iepriekš minēto ņemt vērā projekta virzības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skaidrot izmaiņas, salīdzinot ar pašreizējo Ministru kabineta 2013.gada 17.decembra noteikumu Nr.1524 "Noteikumi par valsts atbalstu lauksaimniecībai" redakciju. Vēršam uzmanību, ka, piemēram, skaidrojums attiecībā uz noteikumu 7.1. un 7.2. apakšpunkta izmaiņām (piemēram: "</w:t>
            </w:r>
            <w:r w:rsidR="00000000" w:rsidRPr="00000000" w:rsidDel="00000000">
              <w:rPr>
                <w:i w:val="1"/>
                <w:rtl w:val="0"/>
              </w:rPr>
              <w:t xml:space="preserve">Pašlaik noteikumu Nr. 1524 7.2. apakšpunktā noteikts, ka atbalsta pretendentam nedrīkst būt maksātnespēja</w:t>
            </w:r>
            <w:r w:rsidR="00000000" w:rsidRPr="00000000" w:rsidDel="00000000">
              <w:rPr>
                <w:rtl w:val="0"/>
              </w:rPr>
              <w:t xml:space="preserve">") nav korekts, jo 7.2. apakšpunktā minētais netiek noteikts, turklāt 7.2. apakšpunkts netiek grozīts, taču tiek grozīts 7.1. apakšpunkts. Proti, skaidrojums attiecas uz izmaiņām projektā saskaņošanas procesā, nevis pašreizējā regulējuma izmaiņām. Attiecīgi lūdzam precizēt minēto, kā arī pārskatīt anotāciju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13.02.2023.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13.02.2023.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