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investīciju projekts – atbalsta programmas ietvaros gala labuma guvēja realizējamais digitālās transformācijas darbību kopums, kam piešķirts finansējums pēc Latvijas Investīciju un attīstības aģentūras apstiprināta gala labuma guvēja atbalsta pieteikuma darbību kopums gala labuma guvēja ieguldījumiem digitālajā transformācijā;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2.5. apakšpunktu, kur atkārtoti norādīts uz darbību kopumu, tādējādi nodrošinot nepārprotamu termina "investīciju projekts"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lielais komersants - komersants, kas atbilst Eiropas Komisijas 2014. gada 17. jūnija Regulas (ES) Nr. 651/2014, ar ko noteiktas atbalsta kategorijas atzīst par saderīgām ar iekšējo tirgu, piemērojot Līguma 107. un 108. pantu (turpmāk – Komisijas regula Nr. 651/2014) 2. panta 24.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konsekventi ievērot noteikumu projekta 2.6. un 2.10. apakšpunktā minētos terminus (sk. noteikumu projekta 7. punktu), kā arī neskaidrot attiecīgo terminu būtiskās pazīmes noteikumu projekta pamattekstā (sk. noteikumu projekta 18.2.2.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ietvaros tiks īstenoti stratēģiski svarīgi investīciju projekti saskaņā ar Eiropas Parlamenta un Padomes 2021. gada 12. februāra Regulu ES Nr. 2021/241, ar ko izveido Atveseļošanas un noturības mehānismu (turpmāk - Komisijas regula Nr. 2021/241).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10. punktu, ņemot vērā, ka attiecīgā norma ir deklaratīva un tai pašai par sevi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ietvaros tiks īstenoti stratēģiski svarīgi investīciju projekti saskaņā ar Eiropas Parlamenta un Padomes 2021. gada 12. februāra Regulu ES Nr. 2021/241, ar ko izveido Atveseļošanas un noturības mehānismu (turpmāk - Komisijas regula Nr. 2021/241).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 punktā norādīt konkrētu Eiropas Parlamenta un Padomes 2021. gada 12. februāra Regulas ES Nr. 2021/241, ar ko izveido Atveseļošanas un noturības mehānismu, vienību, kas paredz attiecīgu regulējumu par svarīgiem investīciju projektiem,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15 darbdienu laikā no projekta iesnieguma iesniegšanas izvērtēt iesniegto projekta iesniegumu atbilstoši šo noteikumu prasībām, izslēgšanas kritērijiem, kas noteikti regulas Nr. 2018/1046 136. pantā, un, ja nepieciešams, lūgt Latvijas Investīciju un attīstības aģentūru veikt projekta iesnieguma veidlapā iesniegtās informācijas papildinājumus un precizējumus, bet ne vairāk kā divas reizes, nosakot arī termiņus precizējumu un papildinājumu iesniegšanai. Ja Latvijas Investīciju un attīstības aģentūra projekta iesniegumu ir iesniegusi atbilstoši šo noteikumu prasībām, un nepieciešamības gadījumā precizējusi projekta iesniegumu atbilstoši Ekonomikas ministrijas noteiktajam, izpildot šajā punktā minētos nosacījumus, Ekonomikas ministrija pieņem lēmumu par projekta iesnieguma apstiprināšanu un vienošanās par Atveseļošanas fonda finansējuma pārvaldīšanu, tā piešķiršanas, izlietošanas un uzraudzības kārtību noslēgšanu;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redakcionāli (tehniski) precizēt noteikumu projekta 24.2.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norādot kā priekšnoteikumu projekta iesnieguma apstiprināšanai to, ja Latvijas Investīciju un attīstības aģentūra projekta iesniegumu ir iesniegusi atbilstoši šo noteikumu prasībām, kā arī uz aģentūru nav attiecināmi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Alternatīvi lūdzam minētā apakšpunkta otrajā teikumā norādīt, ja Latvijas Investīciju un attīstības aģentūra ir izpildījusi šī apakšpunkta pirmajā teikumā ietvertos nosacījumus, tai skaitā nepieciešamības gadījumā precizējusi projekta iesniegumu atbilstoši Ekonomikas ministrijas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tehniski precizējot norādi "izpildot šajā punktā minētos nosacījumus", ņemot vērā, ka nosacījumi ietverti 24.2.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darbojas vismaz trīs gadus no dibināšanas brīža un tajā ir apvienojušies vismaz desmit biedri, kuru vidū ir vismaz pieci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nodibinājumos nav biedru, bet tikai dibinātāji, līdz ar ko lūdzam izvērtēt un precizēt arī noteikumu projekta 34.2.1. apakšpunktu u.c. vienības, kas saistītas ar attiecīgo regulējumu, minētajā apakšpunktā izvirzot nosacījumus arī nodibinājumiem.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informāciju par plānoto un piešķirto atbalstu tā paša investīciju projekta ietvaros, tai skaitā par tām pašām attiecināmajām izmaksām, norādot atbalsta piešķiršanas datumu, atbalsta sniedzēju, atbalsta pasākumu un plānoto/piešķirto atbalsta summu un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juridiskās tehnikas prasībām noteikumu projekta 35.5. apakšpunktā simbolu "/" aizstāt ar saikli "un" vai saikli "vai", jo no noteikumu projekta nav skaidrs, vai ar simbolu "/" tiek saprasts saiklis "un" vai saiklis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atbalsts, ko piešķir būtiskām pārmaiņām ražošanas procesā saskaņā ar Komisijas regulas Nr. 651/2014 14. panta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58.4. un 58.5. apakšpunktā ietvertās atsauces uz Eiropas Savienības regulu, nodrošinot skaidras normas. Norādām, ka šobrīd no minētajām vienībām nav saprotams, uz kuriem attiecīgās regulas normu aspektiem tiek izdarītas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07.12.2022.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07.12.2022.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Atzinumi_22-TA-1124.docx</dc:title>
</cp:coreProperties>
</file>

<file path=docProps/custom.xml><?xml version="1.0" encoding="utf-8"?>
<Properties xmlns="http://schemas.openxmlformats.org/officeDocument/2006/custom-properties" xmlns:vt="http://schemas.openxmlformats.org/officeDocument/2006/docPropsVTypes"/>
</file>