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23-TA-1361: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4.2.4.specifiskā atbalsta mērķa "Veicināt mūžizglītību, jo īpaši paredzot elastīgas kvalifikācijas paaugstināšanas un pārkvalificēšanās iespējas visiem, ņemot vērā digitālās prasmes, labāk paredzot pārmaiņas un jaunas prasības pēc prasmēm, kas balstītas  uz darba tirgus vajadzībām, atvieglojot karjeras maiņu un sekmējot profesionālo mobilitāti" 4.2.4.2 pasākuma "Atbalsts pieaugušo individuālajās vajadzībās balstītai pieaugušo izglītībai”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21.4. atbalsts karjeras konsultanta pakalpojumiem;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sniegt nepārprotamu skaidrojumu par kādiem līdzekļiem tiks īstenota Ministru kabineta (turpmāk- MK) noteikumu 21.4.punktā minētā atbalstāmā darbība "atbalsts karjeras konsultanta pakalpojumiem", proti, par tās praktisko īstenošanu un plānotajām izmaksām, kā tieši notiks atbalsts karjeras konsultanta pakalpojumiem VIAA sadarbība ar NVA un konsultāciju nodrošināšana profesionālās izglītības iestādēs. Vai MK noteikumu 14.punktā minētajam sadarbības partnerim - NVA - tas jānodrošina par saviem līdzekļiem.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Inguna Arāja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21.11.3. atbalsts ar dzīvojamās telpas īri vai dzīvošanu dienesta viesnīcā saistīto izdevumu kompensācijai šo noteikumu </w:t>
            </w:r>
            <w:r w:rsidR="00000000" w:rsidRPr="00000000" w:rsidDel="00000000">
              <w:rPr>
                <w:rtl w:val="0"/>
              </w:rPr>
              <w:t xml:space="preserve">21.5.</w:t>
            </w:r>
            <w:r w:rsidR="00000000" w:rsidRPr="00000000" w:rsidDel="00000000">
              <w:rPr>
                <w:rtl w:val="0"/>
              </w:rPr>
              <w:t xml:space="preserve"> apakšpunktā minētās profesionālās tālākizglītības programmas apguvei,</w:t>
            </w:r>
            <w:r w:rsidR="00000000" w:rsidRPr="00000000" w:rsidDel="00000000">
              <w:rPr>
                <w:b w:val="1"/>
                <w:rtl w:val="0"/>
              </w:rPr>
              <w:t xml:space="preserve"> </w:t>
            </w:r>
            <w:r w:rsidR="00000000" w:rsidRPr="00000000" w:rsidDel="00000000">
              <w:rPr>
                <w:rtl w:val="0"/>
              </w:rPr>
              <w:t xml:space="preserve">atbilstoši mācību ilgumam nodarbinātajiem, kuri pārstāv mājsaimniecību, kurai ir piešķirts maznodrošinātas vai trūcīgas mājsaimniecības statuss, nodarbinātajiem ar zemu izglītības līmeni, kā arī bēgļiem un personām ar alternatīvo statusu;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kārtību, kā plānots piešķirt noteikumu projekta 21.11.3. apakšpunktā minēto atbalstu ar dzīvojamās telpas īri vai dzīvošanu dienesta viesnīcā saistīto izdevumu kompensācijai. Vēršam uzmanību, ka gadījumā, ja attiecīgais minētais atbalsts tiks piešķirts konkrēta izvēlēta pakalpojumu sniedzēja - dienesta viesnīcas vai dzīvojamās telpas īres pakalpojuma izmaksu segšanai, tas var kvalificēties kā komercdarbības atbalsts minētajam pakalpojumu sniedzējam, savukārt, ja nodarbinātā persona pati izraugās pakalpojumu sniedzēju un tai tiks piešķirta kompensācija, tad uzskatāms, ka finansējums nesniedz selektīvu ekonomisko priekšrocību konkrētiem saimnieciskās darbības veicējiem.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Jurijs Jenuševskis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Šo noteikumu </w:t>
            </w:r>
            <w:r w:rsidR="00000000" w:rsidRPr="00000000" w:rsidDel="00000000">
              <w:rPr>
                <w:rtl w:val="0"/>
              </w:rPr>
              <w:t xml:space="preserve">22.1.</w:t>
            </w:r>
            <w:r w:rsidR="00000000" w:rsidRPr="00000000" w:rsidDel="00000000">
              <w:rPr>
                <w:rtl w:val="0"/>
              </w:rPr>
              <w:t xml:space="preserve"> apakšpunktā minētās tiešās attiecināmās izmaksas ietver šādas izmaksu pozīcijas: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23. punktu, skaidri nosakot, kuras no attiecināmajām izmaksām tiks atbalstītas attiecīgi finansējuma saņēmējam un kuras tiks atbalstītas attiecīgajiem sadarbības partneriem.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Jurijs Jenuševskis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 tiešās attiecināmās projekta vadības personāla un īstenošanas personāla atlīdzības izmaksas (izņemot virsstundas) šo noteikumu  </w:t>
            </w:r>
            <w:r w:rsidR="00000000" w:rsidRPr="00000000" w:rsidDel="00000000">
              <w:rPr>
                <w:rtl w:val="0"/>
              </w:rPr>
              <w:t xml:space="preserve">21.1.</w:t>
            </w:r>
            <w:r w:rsidR="00000000" w:rsidRPr="00000000" w:rsidDel="00000000">
              <w:rPr>
                <w:rtl w:val="0"/>
              </w:rPr>
              <w:t xml:space="preserve">, </w:t>
            </w:r>
            <w:r w:rsidR="00000000" w:rsidRPr="00000000" w:rsidDel="00000000">
              <w:rPr>
                <w:rtl w:val="0"/>
              </w:rPr>
              <w:t xml:space="preserve">21.13.</w:t>
            </w:r>
            <w:r w:rsidR="00000000" w:rsidRPr="00000000" w:rsidDel="00000000">
              <w:rPr>
                <w:rtl w:val="0"/>
              </w:rPr>
              <w:t xml:space="preserve">, </w:t>
            </w:r>
            <w:r w:rsidR="00000000" w:rsidRPr="00000000" w:rsidDel="00000000">
              <w:rPr>
                <w:rtl w:val="0"/>
              </w:rPr>
              <w:t xml:space="preserve">21.14.</w:t>
            </w:r>
            <w:r w:rsidR="00000000" w:rsidRPr="00000000" w:rsidDel="00000000">
              <w:rPr>
                <w:rtl w:val="0"/>
              </w:rPr>
              <w:t xml:space="preserve"> un </w:t>
            </w:r>
            <w:r w:rsidR="00000000" w:rsidRPr="00000000" w:rsidDel="00000000">
              <w:rPr>
                <w:rtl w:val="0"/>
              </w:rPr>
              <w:t xml:space="preserve">21.15.</w:t>
            </w:r>
            <w:r w:rsidR="00000000" w:rsidRPr="00000000" w:rsidDel="00000000">
              <w:rPr>
                <w:rtl w:val="0"/>
              </w:rPr>
              <w:t xml:space="preserve">  apakšpunktā  minēto atbalstāmo darbību īstenošanai, kuras saskaņā ar Eiropas Parlamenta un Padomes 2021. gada 24. jūnija Regulas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55. panta 1. punktu projekta iesniegumā plāno kā vienu izmaksu pozīciju, piemērojot izmaksu vienoto likmi 16,5 procentu apmērā no šo noteikumu </w:t>
            </w:r>
            <w:r w:rsidR="00000000" w:rsidRPr="00000000" w:rsidDel="00000000">
              <w:rPr>
                <w:rtl w:val="0"/>
              </w:rPr>
              <w:t xml:space="preserve">23.2.</w:t>
            </w:r>
            <w:r w:rsidR="00000000" w:rsidRPr="00000000" w:rsidDel="00000000">
              <w:rPr>
                <w:rtl w:val="0"/>
              </w:rPr>
              <w:t xml:space="preserve">, </w:t>
            </w:r>
            <w:r w:rsidR="00000000" w:rsidRPr="00000000" w:rsidDel="00000000">
              <w:rPr>
                <w:rtl w:val="0"/>
              </w:rPr>
              <w:t xml:space="preserve">23.3.</w:t>
            </w:r>
            <w:r w:rsidR="00000000" w:rsidRPr="00000000" w:rsidDel="00000000">
              <w:rPr>
                <w:rtl w:val="0"/>
              </w:rPr>
              <w:t xml:space="preserve">, </w:t>
            </w:r>
            <w:r w:rsidR="00000000" w:rsidRPr="00000000" w:rsidDel="00000000">
              <w:rPr>
                <w:rtl w:val="0"/>
              </w:rPr>
              <w:t xml:space="preserve">23.4.</w:t>
            </w:r>
            <w:r w:rsidR="00000000" w:rsidRPr="00000000" w:rsidDel="00000000">
              <w:rPr>
                <w:rtl w:val="0"/>
              </w:rPr>
              <w:t xml:space="preserve">, </w:t>
            </w:r>
            <w:r w:rsidR="00000000" w:rsidRPr="00000000" w:rsidDel="00000000">
              <w:rPr>
                <w:rtl w:val="0"/>
              </w:rPr>
              <w:t xml:space="preserve">23.5.</w:t>
            </w:r>
            <w:r w:rsidR="00000000" w:rsidRPr="00000000" w:rsidDel="00000000">
              <w:rPr>
                <w:rtl w:val="0"/>
              </w:rPr>
              <w:t xml:space="preserve">, </w:t>
            </w:r>
            <w:r w:rsidR="00000000" w:rsidRPr="00000000" w:rsidDel="00000000">
              <w:rPr>
                <w:rtl w:val="0"/>
              </w:rPr>
              <w:t xml:space="preserve">23.6.</w:t>
            </w:r>
            <w:r w:rsidR="00000000" w:rsidRPr="00000000" w:rsidDel="00000000">
              <w:rPr>
                <w:rtl w:val="0"/>
              </w:rPr>
              <w:t xml:space="preserve">, </w:t>
            </w:r>
            <w:r w:rsidR="00000000" w:rsidRPr="00000000" w:rsidDel="00000000">
              <w:rPr>
                <w:rtl w:val="0"/>
              </w:rPr>
              <w:t xml:space="preserve">23.9.</w:t>
            </w:r>
            <w:r w:rsidR="00000000" w:rsidRPr="00000000" w:rsidDel="00000000">
              <w:rPr>
                <w:rtl w:val="0"/>
              </w:rPr>
              <w:t xml:space="preserve">, </w:t>
            </w:r>
            <w:r w:rsidR="00000000" w:rsidRPr="00000000" w:rsidDel="00000000">
              <w:rPr>
                <w:rtl w:val="0"/>
              </w:rPr>
              <w:t xml:space="preserve">23.10.</w:t>
            </w:r>
            <w:r w:rsidR="00000000" w:rsidRPr="00000000" w:rsidDel="00000000">
              <w:rPr>
                <w:rtl w:val="0"/>
              </w:rPr>
              <w:t xml:space="preserve">, </w:t>
            </w:r>
            <w:r w:rsidR="00000000" w:rsidRPr="00000000" w:rsidDel="00000000">
              <w:rPr>
                <w:rtl w:val="0"/>
              </w:rPr>
              <w:t xml:space="preserve">23.11.</w:t>
            </w:r>
            <w:r w:rsidR="00000000" w:rsidRPr="00000000" w:rsidDel="00000000">
              <w:rPr>
                <w:rtl w:val="0"/>
              </w:rPr>
              <w:t xml:space="preserve">, </w:t>
            </w:r>
            <w:r w:rsidR="00000000" w:rsidRPr="00000000" w:rsidDel="00000000">
              <w:rPr>
                <w:rtl w:val="0"/>
              </w:rPr>
              <w:t xml:space="preserve">23.12.</w:t>
            </w:r>
            <w:r w:rsidR="00000000" w:rsidRPr="00000000" w:rsidDel="00000000">
              <w:rPr>
                <w:rtl w:val="0"/>
              </w:rPr>
              <w:t xml:space="preserve">, </w:t>
            </w:r>
            <w:r w:rsidR="00000000" w:rsidRPr="00000000" w:rsidDel="00000000">
              <w:rPr>
                <w:rtl w:val="0"/>
              </w:rPr>
              <w:t xml:space="preserve">23.13.</w:t>
            </w:r>
            <w:r w:rsidR="00000000" w:rsidRPr="00000000" w:rsidDel="00000000">
              <w:rPr>
                <w:rtl w:val="0"/>
              </w:rPr>
              <w:t xml:space="preserve">, </w:t>
            </w:r>
            <w:r w:rsidR="00000000" w:rsidRPr="00000000" w:rsidDel="00000000">
              <w:rPr>
                <w:rtl w:val="0"/>
              </w:rPr>
              <w:t xml:space="preserve">23.14.</w:t>
            </w:r>
            <w:r w:rsidR="00000000" w:rsidRPr="00000000" w:rsidDel="00000000">
              <w:rPr>
                <w:rtl w:val="0"/>
              </w:rPr>
              <w:t xml:space="preserve">, </w:t>
            </w:r>
            <w:r w:rsidR="00000000" w:rsidRPr="00000000" w:rsidDel="00000000">
              <w:rPr>
                <w:rtl w:val="0"/>
              </w:rPr>
              <w:t xml:space="preserve">23.15.</w:t>
            </w:r>
            <w:r w:rsidR="00000000" w:rsidRPr="00000000" w:rsidDel="00000000">
              <w:rPr>
                <w:rtl w:val="0"/>
              </w:rPr>
              <w:t xml:space="preserve">, </w:t>
            </w:r>
            <w:r w:rsidR="00000000" w:rsidRPr="00000000" w:rsidDel="00000000">
              <w:rPr>
                <w:rtl w:val="0"/>
              </w:rPr>
              <w:t xml:space="preserve">23.16.</w:t>
            </w:r>
            <w:r w:rsidR="00000000" w:rsidRPr="00000000" w:rsidDel="00000000">
              <w:rPr>
                <w:rtl w:val="0"/>
              </w:rPr>
              <w:t xml:space="preserve">, </w:t>
            </w:r>
            <w:r w:rsidR="00000000" w:rsidRPr="00000000" w:rsidDel="00000000">
              <w:rPr>
                <w:rtl w:val="0"/>
              </w:rPr>
              <w:t xml:space="preserve">23.17.</w:t>
            </w:r>
            <w:r w:rsidR="00000000" w:rsidRPr="00000000" w:rsidDel="00000000">
              <w:rPr>
                <w:rtl w:val="0"/>
              </w:rPr>
              <w:t xml:space="preserve">, </w:t>
            </w:r>
            <w:r w:rsidR="00000000" w:rsidRPr="00000000" w:rsidDel="00000000">
              <w:rPr>
                <w:rtl w:val="0"/>
              </w:rPr>
              <w:t xml:space="preserve">23.18.</w:t>
            </w:r>
            <w:r w:rsidR="00000000" w:rsidRPr="00000000" w:rsidDel="00000000">
              <w:rPr>
                <w:rtl w:val="0"/>
              </w:rPr>
              <w:t xml:space="preserve">, </w:t>
            </w:r>
            <w:r w:rsidR="00000000" w:rsidRPr="00000000" w:rsidDel="00000000">
              <w:rPr>
                <w:rtl w:val="0"/>
              </w:rPr>
              <w:t xml:space="preserve">23.19.</w:t>
            </w:r>
            <w:r w:rsidR="00000000" w:rsidRPr="00000000" w:rsidDel="00000000">
              <w:rPr>
                <w:rtl w:val="0"/>
              </w:rPr>
              <w:t xml:space="preserve"> un  </w:t>
            </w:r>
            <w:r w:rsidR="00000000" w:rsidRPr="00000000" w:rsidDel="00000000">
              <w:rPr>
                <w:rtl w:val="0"/>
              </w:rPr>
              <w:t xml:space="preserve">23.20.</w:t>
            </w:r>
            <w:r w:rsidR="00000000" w:rsidRPr="00000000" w:rsidDel="00000000">
              <w:rPr>
                <w:rtl w:val="0"/>
              </w:rPr>
              <w:t xml:space="preserve"> apakšpunktā minētajām projekta tiešajām attiecināmajām īstenošanas izmaksām;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norādot, vai 23.1. īstenošanas personāla izmaksas un 23.2. apakšpunktā norādītās izmaksas attiecas tikai uz finansējuma saņēmēju un/ vai uz sadarbības partnera personālu.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Vija Valpētere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 tiešās attiecināmās projekta vadības personāla un īstenošanas personāla atlīdzības izmaksas (izņemot virsstundas) šo noteikumu  </w:t>
            </w:r>
            <w:r w:rsidR="00000000" w:rsidRPr="00000000" w:rsidDel="00000000">
              <w:rPr>
                <w:rtl w:val="0"/>
              </w:rPr>
              <w:t xml:space="preserve">21.1.</w:t>
            </w:r>
            <w:r w:rsidR="00000000" w:rsidRPr="00000000" w:rsidDel="00000000">
              <w:rPr>
                <w:rtl w:val="0"/>
              </w:rPr>
              <w:t xml:space="preserve">, </w:t>
            </w:r>
            <w:r w:rsidR="00000000" w:rsidRPr="00000000" w:rsidDel="00000000">
              <w:rPr>
                <w:rtl w:val="0"/>
              </w:rPr>
              <w:t xml:space="preserve">21.13.</w:t>
            </w:r>
            <w:r w:rsidR="00000000" w:rsidRPr="00000000" w:rsidDel="00000000">
              <w:rPr>
                <w:rtl w:val="0"/>
              </w:rPr>
              <w:t xml:space="preserve">, </w:t>
            </w:r>
            <w:r w:rsidR="00000000" w:rsidRPr="00000000" w:rsidDel="00000000">
              <w:rPr>
                <w:rtl w:val="0"/>
              </w:rPr>
              <w:t xml:space="preserve">21.14.</w:t>
            </w:r>
            <w:r w:rsidR="00000000" w:rsidRPr="00000000" w:rsidDel="00000000">
              <w:rPr>
                <w:rtl w:val="0"/>
              </w:rPr>
              <w:t xml:space="preserve"> un </w:t>
            </w:r>
            <w:r w:rsidR="00000000" w:rsidRPr="00000000" w:rsidDel="00000000">
              <w:rPr>
                <w:rtl w:val="0"/>
              </w:rPr>
              <w:t xml:space="preserve">21.15.</w:t>
            </w:r>
            <w:r w:rsidR="00000000" w:rsidRPr="00000000" w:rsidDel="00000000">
              <w:rPr>
                <w:rtl w:val="0"/>
              </w:rPr>
              <w:t xml:space="preserve">  apakšpunktā  minēto atbalstāmo darbību īstenošanai, kuras saskaņā ar Eiropas Parlamenta un Padomes 2021. gada 24. jūnija Regulas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55. panta 1. punktu projekta iesniegumā plāno kā vienu izmaksu pozīciju, piemērojot izmaksu vienoto likmi 16,5 procentu apmērā no šo noteikumu </w:t>
            </w:r>
            <w:r w:rsidR="00000000" w:rsidRPr="00000000" w:rsidDel="00000000">
              <w:rPr>
                <w:rtl w:val="0"/>
              </w:rPr>
              <w:t xml:space="preserve">23.2.</w:t>
            </w:r>
            <w:r w:rsidR="00000000" w:rsidRPr="00000000" w:rsidDel="00000000">
              <w:rPr>
                <w:rtl w:val="0"/>
              </w:rPr>
              <w:t xml:space="preserve">, </w:t>
            </w:r>
            <w:r w:rsidR="00000000" w:rsidRPr="00000000" w:rsidDel="00000000">
              <w:rPr>
                <w:rtl w:val="0"/>
              </w:rPr>
              <w:t xml:space="preserve">23.3.</w:t>
            </w:r>
            <w:r w:rsidR="00000000" w:rsidRPr="00000000" w:rsidDel="00000000">
              <w:rPr>
                <w:rtl w:val="0"/>
              </w:rPr>
              <w:t xml:space="preserve">, </w:t>
            </w:r>
            <w:r w:rsidR="00000000" w:rsidRPr="00000000" w:rsidDel="00000000">
              <w:rPr>
                <w:rtl w:val="0"/>
              </w:rPr>
              <w:t xml:space="preserve">23.4.</w:t>
            </w:r>
            <w:r w:rsidR="00000000" w:rsidRPr="00000000" w:rsidDel="00000000">
              <w:rPr>
                <w:rtl w:val="0"/>
              </w:rPr>
              <w:t xml:space="preserve">, </w:t>
            </w:r>
            <w:r w:rsidR="00000000" w:rsidRPr="00000000" w:rsidDel="00000000">
              <w:rPr>
                <w:rtl w:val="0"/>
              </w:rPr>
              <w:t xml:space="preserve">23.5.</w:t>
            </w:r>
            <w:r w:rsidR="00000000" w:rsidRPr="00000000" w:rsidDel="00000000">
              <w:rPr>
                <w:rtl w:val="0"/>
              </w:rPr>
              <w:t xml:space="preserve">, </w:t>
            </w:r>
            <w:r w:rsidR="00000000" w:rsidRPr="00000000" w:rsidDel="00000000">
              <w:rPr>
                <w:rtl w:val="0"/>
              </w:rPr>
              <w:t xml:space="preserve">23.6.</w:t>
            </w:r>
            <w:r w:rsidR="00000000" w:rsidRPr="00000000" w:rsidDel="00000000">
              <w:rPr>
                <w:rtl w:val="0"/>
              </w:rPr>
              <w:t xml:space="preserve">, </w:t>
            </w:r>
            <w:r w:rsidR="00000000" w:rsidRPr="00000000" w:rsidDel="00000000">
              <w:rPr>
                <w:rtl w:val="0"/>
              </w:rPr>
              <w:t xml:space="preserve">23.9.</w:t>
            </w:r>
            <w:r w:rsidR="00000000" w:rsidRPr="00000000" w:rsidDel="00000000">
              <w:rPr>
                <w:rtl w:val="0"/>
              </w:rPr>
              <w:t xml:space="preserve">, </w:t>
            </w:r>
            <w:r w:rsidR="00000000" w:rsidRPr="00000000" w:rsidDel="00000000">
              <w:rPr>
                <w:rtl w:val="0"/>
              </w:rPr>
              <w:t xml:space="preserve">23.10.</w:t>
            </w:r>
            <w:r w:rsidR="00000000" w:rsidRPr="00000000" w:rsidDel="00000000">
              <w:rPr>
                <w:rtl w:val="0"/>
              </w:rPr>
              <w:t xml:space="preserve">, </w:t>
            </w:r>
            <w:r w:rsidR="00000000" w:rsidRPr="00000000" w:rsidDel="00000000">
              <w:rPr>
                <w:rtl w:val="0"/>
              </w:rPr>
              <w:t xml:space="preserve">23.11.</w:t>
            </w:r>
            <w:r w:rsidR="00000000" w:rsidRPr="00000000" w:rsidDel="00000000">
              <w:rPr>
                <w:rtl w:val="0"/>
              </w:rPr>
              <w:t xml:space="preserve">, </w:t>
            </w:r>
            <w:r w:rsidR="00000000" w:rsidRPr="00000000" w:rsidDel="00000000">
              <w:rPr>
                <w:rtl w:val="0"/>
              </w:rPr>
              <w:t xml:space="preserve">23.12.</w:t>
            </w:r>
            <w:r w:rsidR="00000000" w:rsidRPr="00000000" w:rsidDel="00000000">
              <w:rPr>
                <w:rtl w:val="0"/>
              </w:rPr>
              <w:t xml:space="preserve">, </w:t>
            </w:r>
            <w:r w:rsidR="00000000" w:rsidRPr="00000000" w:rsidDel="00000000">
              <w:rPr>
                <w:rtl w:val="0"/>
              </w:rPr>
              <w:t xml:space="preserve">23.13.</w:t>
            </w:r>
            <w:r w:rsidR="00000000" w:rsidRPr="00000000" w:rsidDel="00000000">
              <w:rPr>
                <w:rtl w:val="0"/>
              </w:rPr>
              <w:t xml:space="preserve">, </w:t>
            </w:r>
            <w:r w:rsidR="00000000" w:rsidRPr="00000000" w:rsidDel="00000000">
              <w:rPr>
                <w:rtl w:val="0"/>
              </w:rPr>
              <w:t xml:space="preserve">23.14.</w:t>
            </w:r>
            <w:r w:rsidR="00000000" w:rsidRPr="00000000" w:rsidDel="00000000">
              <w:rPr>
                <w:rtl w:val="0"/>
              </w:rPr>
              <w:t xml:space="preserve">, </w:t>
            </w:r>
            <w:r w:rsidR="00000000" w:rsidRPr="00000000" w:rsidDel="00000000">
              <w:rPr>
                <w:rtl w:val="0"/>
              </w:rPr>
              <w:t xml:space="preserve">23.15.</w:t>
            </w:r>
            <w:r w:rsidR="00000000" w:rsidRPr="00000000" w:rsidDel="00000000">
              <w:rPr>
                <w:rtl w:val="0"/>
              </w:rPr>
              <w:t xml:space="preserve">, </w:t>
            </w:r>
            <w:r w:rsidR="00000000" w:rsidRPr="00000000" w:rsidDel="00000000">
              <w:rPr>
                <w:rtl w:val="0"/>
              </w:rPr>
              <w:t xml:space="preserve">23.16.</w:t>
            </w:r>
            <w:r w:rsidR="00000000" w:rsidRPr="00000000" w:rsidDel="00000000">
              <w:rPr>
                <w:rtl w:val="0"/>
              </w:rPr>
              <w:t xml:space="preserve">, </w:t>
            </w:r>
            <w:r w:rsidR="00000000" w:rsidRPr="00000000" w:rsidDel="00000000">
              <w:rPr>
                <w:rtl w:val="0"/>
              </w:rPr>
              <w:t xml:space="preserve">23.17.</w:t>
            </w:r>
            <w:r w:rsidR="00000000" w:rsidRPr="00000000" w:rsidDel="00000000">
              <w:rPr>
                <w:rtl w:val="0"/>
              </w:rPr>
              <w:t xml:space="preserve">, </w:t>
            </w:r>
            <w:r w:rsidR="00000000" w:rsidRPr="00000000" w:rsidDel="00000000">
              <w:rPr>
                <w:rtl w:val="0"/>
              </w:rPr>
              <w:t xml:space="preserve">23.18.</w:t>
            </w:r>
            <w:r w:rsidR="00000000" w:rsidRPr="00000000" w:rsidDel="00000000">
              <w:rPr>
                <w:rtl w:val="0"/>
              </w:rPr>
              <w:t xml:space="preserve">, </w:t>
            </w:r>
            <w:r w:rsidR="00000000" w:rsidRPr="00000000" w:rsidDel="00000000">
              <w:rPr>
                <w:rtl w:val="0"/>
              </w:rPr>
              <w:t xml:space="preserve">23.19.</w:t>
            </w:r>
            <w:r w:rsidR="00000000" w:rsidRPr="00000000" w:rsidDel="00000000">
              <w:rPr>
                <w:rtl w:val="0"/>
              </w:rPr>
              <w:t xml:space="preserve"> un  </w:t>
            </w:r>
            <w:r w:rsidR="00000000" w:rsidRPr="00000000" w:rsidDel="00000000">
              <w:rPr>
                <w:rtl w:val="0"/>
              </w:rPr>
              <w:t xml:space="preserve">23.20.</w:t>
            </w:r>
            <w:r w:rsidR="00000000" w:rsidRPr="00000000" w:rsidDel="00000000">
              <w:rPr>
                <w:rtl w:val="0"/>
              </w:rPr>
              <w:t xml:space="preserve"> apakšpunktā minētajām projekta tiešajām attiecināmajām īstenošanas izmaksām;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projekta vadības un īstenošanas personāla atlīdzības likmes apmēru saskaņot ar vadošo iestādi.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noteikumu projekta 23.1.apakšpunktā nav uzskaitītas visas pārējās tiešās attiecināmās izmaksas, proti, 23.7., 23.8. un 23.21 apakšpunktā minētās. Lūdzam precizēt, lai nodrošinātu atbilstošu Eiropas Parlamenta un Padomes 2021. gada 24. jūnija Regulas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55.panta 1.punkta piemērošanu, t.sk. norādot korektu likmes apmēru bez cipariem aiz komata. Vienlaikus aicinām neuzskaitīt visu izmaksu apakšpunktus, bet lietot redakciju, piemēram "…% apmērā no pārējām tiešajām attiecināmajām izmaksām, kas nav personāla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23.2. jaunradītu darba vietu aprīkojuma, tai skaitā biroja mēbeļu un tehnikas, datorprogrammu un licences iegādes vai nomas izmaksas, aprīkojuma uzturēšanas un remonta izmaksas, ne vairāk kā 3 000 euro vienai darba vietai visā projekta īstenošanas laikā, ja projekta vadības vai īstenošanas personāls ir nodarbināts projektā vismaz 30 procentu apmērā no normālā darba laika uz darba līguma pamata. Ja projekta vadības vai īstenošanas personāls ir nodarbināts nepilnu darba laiku vai daļlaiku, jaunradītas darba vietas aprīkojuma iegādes vai nomas izmaksas ir attiecināmas proporcionāli darba slodzes procentuālajam sadalījumam;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23.2.apakšpunktu, jo esošajā redakcijā darba vietas aprīkojuma izmaksas attiecas tikai uz personālu, kas ir nodarbināts projektā uz darba līguma pamata un izslēdz personālu, kas pieņemts projektā uz rīkojuma pamata (ierēdņus).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Vija Valpētere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23.3. transporta izmaksas (maksa par degvielu, transporta pakalpojumu pirkšana, maksa par sabiedriskā transporta izmantošanu) šo noteikumu </w:t>
            </w:r>
            <w:r w:rsidR="00000000" w:rsidRPr="00000000" w:rsidDel="00000000">
              <w:rPr>
                <w:rtl w:val="0"/>
              </w:rPr>
              <w:t xml:space="preserve">21.13.</w:t>
            </w:r>
            <w:r w:rsidR="00000000" w:rsidRPr="00000000" w:rsidDel="00000000">
              <w:rPr>
                <w:rtl w:val="0"/>
              </w:rPr>
              <w:t xml:space="preserve"> un </w:t>
            </w:r>
            <w:r w:rsidR="00000000" w:rsidRPr="00000000" w:rsidDel="00000000">
              <w:rPr>
                <w:rtl w:val="0"/>
              </w:rPr>
              <w:t xml:space="preserve">21.14.</w:t>
            </w:r>
            <w:r w:rsidR="00000000" w:rsidRPr="00000000" w:rsidDel="00000000">
              <w:rPr>
                <w:rtl w:val="0"/>
              </w:rPr>
              <w:t xml:space="preserve"> apakšpunktā minētās atbalstāmās darbības īstenošanai atbilstoši vadošās iestādes izstrādātajai metodikai "Vienas vienības izmaksu standarta likmes aprēķina un piemērošanas metodika 1 km izmaksām darbības programmas “Izaugsme un nodarbinātība” un Eiropas Savienības kohēzijas politikas programmas 2021.–2027.gadam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vadošās iestādes izstrādātā metodika "Vienas vienības izmaksu standarta likmes aprēķina un piemērošanas metodika 1 km izmaksām darbības programmas “Izaugsme un nodarbinātība” un Eiropas Savienības kohēzijas politikas programmas 2021.–2027.gadam  īstenošanai" attiecas tikai uz maksu par degvielu un maksu par sabiedriskā transporta izmantošanu, tad, lūdzam dzēst no 23.3.apakšpunkta tekstu "transporta pakalpojumu pirkšana" un pārvietot to uz 23.4. apakšpunktu, kā arī papildināt ar norādi uz kuru personālu attiecas 23.3.apakšpunktā norādītās izmaksas, un vai izmaksas attiecas uz finansējuma saņēmēja un/vai sadarbības partnera personālu.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veikt attiecīgus precizējumus arī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Vija Valpētere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23.5. iekšzemes komandējumu un dienesta braucienu izmaksas šo noteikumu </w:t>
            </w:r>
            <w:r w:rsidR="00000000" w:rsidRPr="00000000" w:rsidDel="00000000">
              <w:rPr>
                <w:rtl w:val="0"/>
              </w:rPr>
              <w:t xml:space="preserve">21.13.</w:t>
            </w:r>
            <w:r w:rsidR="00000000" w:rsidRPr="00000000" w:rsidDel="00000000">
              <w:rPr>
                <w:rtl w:val="0"/>
              </w:rPr>
              <w:t xml:space="preserve"> un </w:t>
            </w:r>
            <w:r w:rsidR="00000000" w:rsidRPr="00000000" w:rsidDel="00000000">
              <w:rPr>
                <w:rtl w:val="0"/>
              </w:rPr>
              <w:t xml:space="preserve">21.14.</w:t>
            </w:r>
            <w:r w:rsidR="00000000" w:rsidRPr="00000000" w:rsidDel="00000000">
              <w:rPr>
                <w:rtl w:val="0"/>
              </w:rPr>
              <w:t xml:space="preserve"> apakšpunktā minētās atbalstāmās darbības īstenošanai attiecināmas atbilstoši vadošās iestādes izstrādātajai metodikai "Vienas vienības izmaksu standarta likmes aprēķina un piemērošanas metodika iekšzemes komandējumu izmaksām darbības programmas “Izaugsme un nodarbinātība”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norādot, vai 23.5.apakšpunkta izmaksas attiecas uz finansējuma saņēmēja un/vai sadarbības partnera personālu, un vai tās attiecas uz projekta vadības un/vai īstenošanas personālu.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Vija Valpētere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23.6. veselības apdrošināšanas izmaksas, obligāto veselības pārbaužu izmaksas un speciālo medicīnisko optisko redzes korekcijas līdzekļu kompensācijas izmaksas šo noteikumu </w:t>
            </w:r>
            <w:r w:rsidR="00000000" w:rsidRPr="00000000" w:rsidDel="00000000">
              <w:rPr>
                <w:rtl w:val="0"/>
              </w:rPr>
              <w:t xml:space="preserve">23.1.</w:t>
            </w:r>
            <w:r w:rsidR="00000000" w:rsidRPr="00000000" w:rsidDel="00000000">
              <w:rPr>
                <w:rtl w:val="0"/>
              </w:rPr>
              <w:t xml:space="preserve"> apakšpunktā minētajam personālam. Ja veselības apdrošināšana paredzēta finansējuma saņēmēja iestādē un minētais personāls ir nodarbināts uz normālu darba laiku, veselības apdrošināšanas izmaksas ir attiecināmas 100 procentu apmērā. Ja projekta vadības un īstenošanas personāls ir nodarbināts nepilnu darba laiku vai daļlaiku, veselības apdrošināšanas izmaksas nosakāmas proporcionāli slodzes procentuālajam sadalījumam. Veselības apdrošināšanas izmaksas attiecināmas tikai uz periodu, kad minētais personāls ir nodarbināts projektā;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23.6.apakšpunktu, jo, pamatojoties uz anotācijā minēto informāciju, 23.6.apakšpunktā norādītās izmaksas ir jau iekļautas personāla atlīdzības izmaksu vienotajā likmē, kas noteikta 23.1.apakšpunktā.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Vija Valpētere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23.6. veselības apdrošināšanas izmaksas, obligāto veselības pārbaužu izmaksas un speciālo medicīnisko optisko redzes korekcijas līdzekļu kompensācijas izmaksas šo noteikumu </w:t>
            </w:r>
            <w:r w:rsidR="00000000" w:rsidRPr="00000000" w:rsidDel="00000000">
              <w:rPr>
                <w:rtl w:val="0"/>
              </w:rPr>
              <w:t xml:space="preserve">23.1.</w:t>
            </w:r>
            <w:r w:rsidR="00000000" w:rsidRPr="00000000" w:rsidDel="00000000">
              <w:rPr>
                <w:rtl w:val="0"/>
              </w:rPr>
              <w:t xml:space="preserve"> apakšpunktā minētajam personālam. Ja veselības apdrošināšana paredzēta finansējuma saņēmēja iestādē un minētais personāls ir nodarbināts uz normālu darba laiku, veselības apdrošināšanas izmaksas ir attiecināmas 100 procentu apmērā. Ja projekta vadības un īstenošanas personāls ir nodarbināts nepilnu darba laiku vai daļlaiku, veselības apdrošināšanas izmaksas nosakāmas proporcionāli slodzes procentuālajam sadalījumam. Veselības apdrošināšanas izmaksas attiecināmas tikai uz periodu, kad minētais personāls ir nodarbināts projektā;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Finanšu ministrijas vadlīniju Nr.1.2. "Vadlīnijas attiecināmo izmaksu noteikšanai Eiropas Savienības kohēzijas politikas programmas 2021.-2027.gada plānošanas periodā" 7.15.2.2. un 7.15.2.3.apakšpunktu veselības apdrošināšanas izmaksas un speciālo medicīnisko optisko redzes korekcijas līdzekļu kompensācijas izmaksas ietilpst Personāla izmaksās. Līdz ar to aicinām svītrot attiecīgās izmaksas no noteikumu projekta 23.6.apakšpunkta, tā kā tās tiks segtas, piemērojot vienoto personāla izmaksu likmi. Vienlaikus ierosinām veselības pārbaužu izmaksas segt no netiešajām izmaksām, attiecīgi noteikumu projektu 23.6. apakšpunktu svītrojot.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veikt atbilstošus precizējumus arī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31.2. par bērnu līdz trim gadiem piešķir atbilstoši nodarbinātās personas mācību norises grafikam un nodarbību apmeklējumam šo noteikumu </w:t>
            </w:r>
            <w:r w:rsidR="00000000" w:rsidRPr="00000000" w:rsidDel="00000000">
              <w:rPr>
                <w:rtl w:val="0"/>
              </w:rPr>
              <w:t xml:space="preserve">21.5.</w:t>
            </w:r>
            <w:r w:rsidR="00000000" w:rsidRPr="00000000" w:rsidDel="00000000">
              <w:rPr>
                <w:rtl w:val="0"/>
              </w:rPr>
              <w:t xml:space="preserve">, </w:t>
            </w:r>
            <w:r w:rsidR="00000000" w:rsidRPr="00000000" w:rsidDel="00000000">
              <w:rPr>
                <w:rtl w:val="0"/>
              </w:rPr>
              <w:t xml:space="preserve">21.6.</w:t>
            </w:r>
            <w:r w:rsidR="00000000" w:rsidRPr="00000000" w:rsidDel="00000000">
              <w:rPr>
                <w:rtl w:val="0"/>
              </w:rPr>
              <w:t xml:space="preserve">, </w:t>
            </w:r>
            <w:r w:rsidR="00000000" w:rsidRPr="00000000" w:rsidDel="00000000">
              <w:rPr>
                <w:rtl w:val="0"/>
              </w:rPr>
              <w:t xml:space="preserve">21.7.</w:t>
            </w:r>
            <w:r w:rsidR="00000000" w:rsidRPr="00000000" w:rsidDel="00000000">
              <w:rPr>
                <w:rtl w:val="0"/>
              </w:rPr>
              <w:t xml:space="preserve">, </w:t>
            </w:r>
            <w:r w:rsidR="00000000" w:rsidRPr="00000000" w:rsidDel="00000000">
              <w:rPr>
                <w:rtl w:val="0"/>
              </w:rPr>
              <w:t xml:space="preserve">21.8.</w:t>
            </w:r>
            <w:r w:rsidR="00000000" w:rsidRPr="00000000" w:rsidDel="00000000">
              <w:rPr>
                <w:rtl w:val="0"/>
              </w:rPr>
              <w:t xml:space="preserve"> un </w:t>
            </w:r>
            <w:r w:rsidR="00000000" w:rsidRPr="00000000" w:rsidDel="00000000">
              <w:rPr>
                <w:rtl w:val="0"/>
              </w:rPr>
              <w:t xml:space="preserve">21.9.</w:t>
            </w:r>
            <w:r w:rsidR="00000000" w:rsidRPr="00000000" w:rsidDel="00000000">
              <w:rPr>
                <w:rtl w:val="0"/>
              </w:rPr>
              <w:t xml:space="preserve"> apakšpunktā minētajās atbalstāmajās darbībās;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esošās Ministru kabineta noteikumu projekta 31.2. un 31.3.apakšpunkta redakcijas nav saprotams, kādu atbalstu saņems mērķa grupas persona par bērnu, kas ir, piemēram, 3 gadus un 6 mēnešus vecs, lūdzam to precizēt.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Vija Valpētere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Pasākuma īstenošanas nosacījumi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no noteikumu projekta 14.1., 14.2. un attiecīgi 48. punkta var secināt, ka 14.1. un 14.2.apakšpunktā minētie sadarbības partneri potenciāli īstenos saimniecisko darbību, sniedzot tādus pakalpojumus, kurus sniedz citi privātie pakalpojumu sniedzēji tirgū, lūdzam precizēt un papildināt noteikumu projektu, pirmkārt, nodrošinot, ka noteikumu projekta ietvaros sadarbības partneri tiks piesaistīti tikai tādu funkciju/nesaimnieciskās darbības īstenošanai, kas nekvalificējas kā saimnieciskā darbība (tās skaidri uzskaitot, sniedzot pamatojumu), un, otrkārt, nodrošinot, ka noteikumu projektā tiek ietverti nosacījumi, kas izriet no piemērojamā komercdarbības atbalsta regulējuma, saskaņā ar kuru tiks piešķirts komercdarbības atbalsts minētajiem sadarbības partneriem, piemēram, saskaņā ar Komisijas regulu Nr. 1407/2013, vai arī alternatīvi paredzot, ka pasākuma ietvaros pakalpojumi tiek iepirkti atklātā, pārredzamā, nediskriminējošā konkursa procedūrā. Vēršam uzmanību, ka mūžizglītības pakalpojumu sniegšana kvalificējas kā saimnieciskā darbība, kas neietilpst valsts vispārējās izglītības sistēmas ietvarā un ko nodrošina daudzi privātie pakalpojumu sniedzēji tirgū. Lūdzam attiecīgi precizēt arī anotācijā sniegto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Jurijs Jenuševskis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Projektu īsteno saskaņā ar noslēgto vienošanos par projekta īstenošanu, bet ne ilgāk kā līdz 2029. gada 31. decembrim.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pārskatīt pasākuma īstenošanas termiņu, ņemot vērā to, ka šobrīd noteiktais termiņš 31.12.2029. sakrīt ar 2021.-2027.gada plānošanas perioda beigām un ir arī pēdējais datums, kurā finansējuma saņēmējs var veikt maksājumus.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25.04.2023. MK noteikumu Nr.205 "Valsts budžeta līdzekļu plānošanas kārtība Eiropas Savienības fondu projektu īstenošanai un maksājumu veikšanai 2021.-2027.gada plānošanas periodā" 20.punktā noteikts, ka sadarbības iestāde pieņem maksājuma pieprasījumus, pārbauda tos un apstiprina ne vēlāk kā līdz 15.03.2030., savukārt saskaņā ar 21.03.2023. MK noteikumu Nr.135 "Eiropas Savienības fondu projektu pārbaužu veikšanas kārtība 2021.–2027. gada plānošanas periodā" 48.punktu, sadarbības iestāde iesniegto maksājuma pieprasījumu izskata, gūst pārliecību par iekļauto izdevumu atbilstību un apstiprina attiecināmo izdevumu summu 80 dienu laikā. Jāņem vērā arī tas, ka 4.2.4.2.pasākuma projektā finansējuma saņēmējam kopā ar noslēguma maksājuma pieprasījumu ir jāiesniedz arī pārskats par dalībniekiem, kas arī jāapstiprina līdz 15.03.2030.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ierosinām noteikt kā samērīgu projekta īstenošanas termiņu 31.10.2029. gan attiecībā pret sadarbības iestādes, gan finansējuma saņēmēja tiesībām, veicamajām funkcijām, atbildību un pienākumiem.”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Vija Valpētere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Finansējuma saņēmējs īsteno projektu, kas nav saistīts ar saimnieciskās darbības veikšanu un nav kvalificējams kā komercdarbības atbalsts. Jebkādas darbības, kas atbilstoši Komercdarbības atbalsta kontroles likumā noteiktajam klasificējamas kā komercdarbība, nav attiecināmas. Pasākuma ietvaros veiktās izmaksas, kas atbilstoši Komercdarbības atbalsta kontroles likumā noteiktajam klasificējamas kā komercdarbības atbalsts, nav attiecināmas.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37. punktu, skaidri nosakot, ka tajā noteiktie nosacījumi ir attiecināmi arī uz sadarbības partneriem. Vienlaikus vēršam uzmanību uz neprecizitāti noteikumu projekta 37. punkta 3. teikumā, ņemot vērā, ka par komercdarbības atbalstu kvalificējas nevis veiktās izmaksas, bet gan publiskā finansējuma piešķiršana saimnieciskās darbības veicēja izmaksu segšanai var kvalificēties kā komercdarbības atbalsts. Papildus vēršam uzmanību, ka pasākuma 4.2.4.2. projekta iesniegumu vērtēšanas kritēriju saskaņošanas ietvaros nebija paredzēts, ka pasākuma ietvaros tiks paredzēts saimnieciskās darbības veikšana, kurai piešķirot atbalstu, būtu nepieciešams vērtēt šī atbalsta atbilstību komercdarbības atbalstu raksturojošām pazīmēm, lai izslēgtu komercdarbības atbalsta esamību.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un sadarbības partneris īsteno projektu, kas nav saistīts ar saimnieciskās darbības veikšanu.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Jurijs Jenuševskis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Finansējuma saņēmējs izstrādā un līdz projekta iesnieguma iesniegšanai Kohēzijas politikas fondu vadības informācijas sistēmas elektroniskajā vidē ar Izglītības un zinātnes ministriju saskaņo konceptuālo risinājuma aprakstu un tā īstenošanas plānu nodarbināto ar zemu izglītības līmeni sasniegšanai, informēšanai un motivācijas veicināšanas pasākumiem, kā arī priekšlikumus nepieciešamiem atbalsta pasākumiem nodarbināto ar zemu izglītības līmeni iesaistei mācībās, ko izvērtējot projekta īstenošanas progresu reizi gadā aktualizē un saskaņo ar Izglītības un zinātnes ministriju.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precizēt Ministru kabineta noteikumu 50.punkta redakciju, lai nepārprotami būtu skaidrs - vai tajā noteiktais konceptuālā risinājuma apraksts, ko finansējuma saņēmējs līdz projekta iesnieguma iesniegšanai Kohēzijas politikas fondu vadības informācijas sistēmā (turpmāk- KPVIS) saskaņo ar Izglītības un zinātnes ministriju, tiek plānots kā dokuments (pielikums), kas projekta iesniedzējam būs jāpievieno projekta iesniegumam  projekta iesniegšanas brīdī KPVIS un attiecīgi  jāņem vērā veicot projekta iesnieguma vērtēšanu.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Inguna Arāja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Īstenojot šo noteikumu </w:t>
            </w:r>
            <w:r w:rsidR="00000000" w:rsidRPr="00000000" w:rsidDel="00000000">
              <w:rPr>
                <w:rtl w:val="0"/>
              </w:rPr>
              <w:t xml:space="preserve">21.1.</w:t>
            </w:r>
            <w:r w:rsidR="00000000" w:rsidRPr="00000000" w:rsidDel="00000000">
              <w:rPr>
                <w:rtl w:val="0"/>
              </w:rPr>
              <w:t xml:space="preserve">, </w:t>
            </w:r>
            <w:r w:rsidR="00000000" w:rsidRPr="00000000" w:rsidDel="00000000">
              <w:rPr>
                <w:rtl w:val="0"/>
              </w:rPr>
              <w:t xml:space="preserve">21.2.</w:t>
            </w:r>
            <w:r w:rsidR="00000000" w:rsidRPr="00000000" w:rsidDel="00000000">
              <w:rPr>
                <w:rtl w:val="0"/>
              </w:rPr>
              <w:t xml:space="preserve">, </w:t>
            </w:r>
            <w:r w:rsidR="00000000" w:rsidRPr="00000000" w:rsidDel="00000000">
              <w:rPr>
                <w:rtl w:val="0"/>
              </w:rPr>
              <w:t xml:space="preserve">21.12.</w:t>
            </w:r>
            <w:r w:rsidR="00000000" w:rsidRPr="00000000" w:rsidDel="00000000">
              <w:rPr>
                <w:rtl w:val="0"/>
              </w:rPr>
              <w:t xml:space="preserve"> un </w:t>
            </w:r>
            <w:r w:rsidR="00000000" w:rsidRPr="00000000" w:rsidDel="00000000">
              <w:rPr>
                <w:rtl w:val="0"/>
              </w:rPr>
              <w:t xml:space="preserve">21.14.</w:t>
            </w:r>
            <w:r w:rsidR="00000000" w:rsidRPr="00000000" w:rsidDel="00000000">
              <w:rPr>
                <w:rtl w:val="0"/>
              </w:rPr>
              <w:t xml:space="preserve"> minētās atbalstāmās darbības, kā arī lai nodrošinātu šo noteikumu </w:t>
            </w:r>
            <w:r w:rsidR="00000000" w:rsidRPr="00000000" w:rsidDel="00000000">
              <w:rPr>
                <w:rtl w:val="0"/>
              </w:rPr>
              <w:t xml:space="preserve">21.3.</w:t>
            </w:r>
            <w:r w:rsidR="00000000" w:rsidRPr="00000000" w:rsidDel="00000000">
              <w:rPr>
                <w:rtl w:val="0"/>
              </w:rPr>
              <w:t xml:space="preserve"> un </w:t>
            </w:r>
            <w:r w:rsidR="00000000" w:rsidRPr="00000000" w:rsidDel="00000000">
              <w:rPr>
                <w:rtl w:val="0"/>
              </w:rPr>
              <w:t xml:space="preserve">21.4.</w:t>
            </w:r>
            <w:r w:rsidR="00000000" w:rsidRPr="00000000" w:rsidDel="00000000">
              <w:rPr>
                <w:rtl w:val="0"/>
              </w:rPr>
              <w:t xml:space="preserve"> apakšpunktā minēto atbalstāmo darbību īstenošanai nepieciešamo informatīvo materiālu un izdales materiālu sagatavošanu, publiskos iepirkumus finansējuma saņēmējs un sadarbības partneri veic atklātā, pārredzamā, nediskriminējošā un konkurenci nodrošinošā procedūrā saskaņā ar normatīvajiem aktiem publisko iepirkumu jomā, izvērtējot iespējas iepirkumiem piemērot sociāli atbildīgu publisko iepirkumu un inovatīvu publisko iepirkumu. Projekta ietvaros ir atbalstāma vides prasību un inovatīva risinājuma integrēšana preču un pakalpojuma iepirkumos (zaļais publiskais iepirkums un inovāciju publiskais iepirkums).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precizēt noteikumu projekta 52. punktu, ņemot vērā to, ka tajā uzskaitītās atbalstāmās darbības nav vienīgās, kas var ietvert atbalsta piešķiršanu par pakalpojumu sniegšanu tādiem pakalpojumu sniedzējiem, kuri darbojas tirgus apstākļos (skat. piemēram, 21.5.-21.9., 21.11.1. - 21.11.3.) un tādējādi, lai izslēgtu komercdarbības atbalsta esamību šo pakalpojumu sniedzēju līmenī, tos būtu nepieciešams izvēlēties atklātā, pārredzamā, nediskriminējošā un konkurenci nodrošinošā procedūrā.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Jurijs Jenuševskis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 Finansējuma saņēmējs nodrošina komunikācijas un vizuālās identitātes prasību nodrošināšanas pasākumus saskaņā ar Regulas Nr. 2021/1060 47. pantu un 50. pantu un normatīviem aktiem par Kārtību, kādā Eiropas Savienības fondu vadībā iesaistītās institūcijas nodrošina šo fondu ieviešanu 2021.–2027.gada plānošanas periodā, kā arī Eiropas Savienības fondu 2021.–2027. gada plānošanas perioda un Atveseļošanas fonda komunikācijas un dizaina vadlīnijām.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punktu, kas nosaka pienākumu finansējuma saņēmējam nodrošināt papildu komunikācijas pasākumu īstenošanu saskaņā ar Finanšu ministrijas 30.05.2023. vadlīniju Nr.1.4."Vadlīnijas Ministru kabineta noteikumu par specifiskā atbalsta mērķa īstenošanu izstrādei Eiropas Savienības fondu 2021.—2027. gada plānošanas periodā" 18.punktu, ņemot vērā, ka 4.2.4.2.pasākums ir stratēģiski svarīgs pasākumus saskaņā ar Programmas 3. papildinājumu.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Krūze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sadaļā “Risinājumu apraksts” ir minēta informācija par nodarbināto personu atbilstības 4.2.4.2. pasākuma mērķa grupai pārbaudi, atsaucoties uz personas iesaistes brīdi 4.2.4.2.pasākumā, taču lūdzam anotāciju papildināt un nepārprotami norādīt, kad tiek pārbaudīta atbilstība mērķa grupai – tad, kad nodarbinātie ir pieteikušies atbalstam vai tad, kad tiek uzsāktas mācības, t.i., izglītības iestāde izdod rīkojumu par nodarbinātā uzņemšanu mācībās.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Vija Valpētere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anotācijas 3.sadaļā "Tiesību akta projekta ietekme uz valsts budžetu un pašvaldību budžetiem" 6. apakšpunktā norādītajā indikatīvajā finansējuma sadalījumā veidojas nekorekts proporcijas sadalījums ar 4 euro nobīdi valsts budžeta līdzfinansējumā. Lūdzam novērst neatbilstības.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Krūze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ka 2024. gadā līdz vienošanās par projekta īstenošanu noslēgšanai ar Centrālo finanšu un līgumu aģentūru 4.2.4.2 pasākuma "Atbalsts pieaugušo individuālajās vajadzībās balstītai pieaugušo izglītībai” (turpmāk – 4.2.4.2. pasākums) projekta īstenošanai nepieciešamo finansējumu attiecināmo izmaksu segšanai Valsts izglītības attīstības aģentūrai kā 4.2.4.2. pasākuma plānotajam finansējuma saņēmējam līdz 295 000 euro apmērā nodrošina no 74. resora "Gadskārtējā valsts budžeta izpildes procesā pārdalāmais finansējums" programmas 80.00.00 "Nesadalītais finansējums Eiropas Savienības politiku instrumentu un pārējās ārvalstu finanšu palīdzības līdzfinansēto projektu un pasākumu īstenošanai" normatīvajos aktos noteiktajā kārtībā.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2018. gada 17. jūlija Ministru kabineta noteikumu Nr. 421 "Kārtība, kādā veic gadskārtējā valsts budžeta likumā noteiktās apropriācijas izmaiņas" 24.2. apakšpunkts paredz, ka no 80.00.00. programmas līdzekļus var pārdalīt izņēmuma kārtā pirms Eiropas Savienības fondu projektu iesnieguma apstiprināšanas sadarbības iestādē, ja Ministru kabinets, pamatojoties uz iesniegto argumentāciju un risku analīzi, ir pieņēmis lēmumu par konkrētā plānotā projekta izdevumu priekšfinansēšanu noteiktā apjomā un izdevumu pozīcijām atbilstoši projektā izvirzītajam mērķim. Norādām, ka no šobrīd anotācijā sniegtās informācijas nav skaidrs, kāpēc pirms projekta apstiprināšanas nepieciešams finansējums 295 000 euro apmērā, kas kavē projekta savlaicīgu sagatavošanu un iesniegšanu sadarbības iestādē pēc noteikumu projekta apstiprināšanas, kādam periodam un kādām izdevumu pozīcijām (pievienojot aprēķinus) minētais finansējums nepieciešams. Papildus norādām, ka nav pamatojuma priekšfinansējumu piešķirt no 80.00.00 programmas, ja projekts atbilstoši anotācijas 3.sadaļā sniegtajai informācijai tiks priekšfinansēts no Izglītības un zinātnes ministrijas 70.08.00 apakšprogrammā “Valsts izglītības attīstības aģentūra” plānotajiem līdzekļiem. Tāpat lūdzam skaidrot potenciālos risinājumus gadījumam, ja izpildās kāds no uzrādītajiem riskiem un attiecīgie izdevumi netiek attiecināti no Eiropas Sociālā fonda Plus finansējuma.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Krūze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iznākuma rādītāju - nodarbinātas personas, tostarp pašnodarbinātas personas, kuras saņem Eiropas Sociālā fonda Plus atbalstu (personu skaits) - 28 000, tai skaitā līdz 2024. gada 31. decembrim - 5 600 personas;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rādītāja definīciju atbilstoši Eiropas Savienības kohēzijas politikas programmā 2021.-2027. gadam noteiktajam.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iznākuma rādītāju - nodarbinātas personas, tostarp pašnodarbinātas personas (personu skaits) - 28 000, tai skaitā līdz 2024. gada 31. decembrim - 5 600 personas;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Krūze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 dalībnieki, kuri saņēmuši Eiropas Sociālā fonda Plus atbalstu un ir ieguvuši kvalifikāciju (personu skaits) - 24 118;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rādītāja nosaukumu atbilstoši Eiropas Savienības kohēzijas politikas programmā 2021.-2027.gadam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 dalībnieki, kuri pēc dalības pārtraukšanas ir ieguvuši kvalifikāciju (personu skaits) - 24 118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Krūze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4.2.2. dalībnieki, kuri sešus mēnešus pēc jaunas kvalifikācijas iegūšanas atrodas labākā darba tirgus situācijā (personu skaits) - 5 601;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rādītāja nosaukumu atbilstoši Eiropas Savienības kohēzijas politikas programmā 2021.-2027.gadam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4.2.2. dalībnieki, kuri sešus mēnešus pēc aiziešanas atrodas labākā darba tirgus situācijā (personu skaits) - 5 601;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Krūze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Pēc projekta iesnieguma apstiprināšanas finansējuma saņēmējs ar katru sadarbības partneri slēdz sadarbības līgumu atbilstoši normatīvajiem aktiem par kārtību, kādā Eiropas Savienības fondu vadībā iesaistītās institūcijas nodrošina Eiropas Savienības fondu ieviešanu 2021.–2027. gada plānošanas periodā. Sadarbības līgumā paredz pušu tiesības, pienākumus un atbildību, kā arī iekļauj vismaz šādus nosacījumus: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precizēt noteikumu projekta 19. punktu, lai tajā ietvertās normas nedublētu Ministru kabineta 2023. gada 13. jūlija noteikumu Nr. 408 "Kārtība, kādā Eiropas Savienības fondu vadībā iesaistītās institūcijas nodrošina šo fondu ieviešanu 2021.–2027. gada plānošanas periodā" 6. punktā ietvertās prasības attiecībā uz sadarbības līgumā iekļaujamo informāciju. Vēršam uzmanību, ka saskaņā ar Ministru kabineta 2009. gada 3. februāra noteikumu Nr. 108 “Normatīvo aktu projektu sagatavošanas noteikumi” 3.2. apakšpunktu normatīvā akta projektā neietver normas, kas dublē augstāka vai tāda paša spēka normatīvā akta tiesību normās ietverto normatīvo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Morgana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21.12. informācijas sistēmas pieaugušo izglītības īstenošanas atbalstam attīstība un uzturēšana personu reģistrēšanas, datu uzkrāšanas un analīzes nodrošināšanai projekta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IZM izvērtēt ieguldījumu lietderību šajā atbalstāmajā darbībā un iespēju datus uzkrāt citā jau izstrādātā informācijas sistēmā, piemēram, sistēmā "BURVIS", ņemot vērā Valsts kontroles revīzijas ziņojuma rezultātus un ieteikumus.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Krūze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 tiešās attiecināmās izmaksas, kas ir tieši saistītas ar projekta darbību īstenošanu un nepieciešamas projekta rezultātu sasniegšanai, un šī saistība ir skaidri saprotama un pierādāma;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izvērtēt, vai mērķa grupas personu apmācību izmaksām būtu piemērojamas kādas no Eiropas Komisijas izstrādātajām Eiropas Savienības līmeņa likmēm, un nepieciešamības gadījumā precizēt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Vija Valpētere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23.2. jaunradītu darba vietu aprīkojuma, tai skaitā biroja mēbeļu un tehnikas, datorprogrammu un licences iegādes vai nomas izmaksas, aprīkojuma uzturēšanas un remonta izmaksas, ne vairāk kā 3 000 euro vienai darba vietai visā projekta īstenošanas laikā, ja projekta vadības vai īstenošanas personāls ir nodarbināts projektā vismaz 30 procentu apmērā no normālā darba laika uz darba līguma pamata. Ja projekta vadības vai īstenošanas personāls ir nodarbināts nepilnu darba laiku vai daļlaiku, jaunradītas darba vietas aprīkojuma iegādes vai nomas izmaksas ir attiecināmas proporcionāli darba slodzes procentuālajam sadalījumam;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noteikumu  projekta 23.2.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21.6. jaunradītu darba vietas aprīkojuma, tai skaitā biroja mēbeļu un tehnikas, datorprogrammu un licences iegādes vai īres izmaksas, tai skaitā aprīkojuma uzturēšanas un remonta izmaksas, ne vairāk kā 3000 euro apmērā vienai darba vietai visā projekta īstenošanas laikā. Ja projekta vadības un īstenošanas personāls ir nodarbināts projektā normālu darba laiku, darba vietas aprīkojuma iegādes vai nomas izmaksas ir attiecināmas 100 procentu apmērā. Ja personāls ir nodarbināts nepilnu darba laiku, darba vietas aprīkojuma iegādes vai nomas izmaksas ir attiecināmas ņemot vērā attiecīgā darba laika proporciju. Ja personāls ir nodarbināts saskaņā ar daļlaika attiecināmības principu, darba vietas aprīkojuma attiecināmās izmaksas nosakāmas proporcionāli darba laika projektā procentuālajam sadalījumam, ņemot vērā darbinieka rīkojumā noteikto darba laika proporciju vai atbilstoši iepriekšējā mēnesī faktiski nostrādātajam darba laikam uz brīdi, kad darbinieks saņem darba vietas aprīkojumu lietošanā, ņemot vērā darbinieka iesaistes periodu projektā pret projekta kopējo īstenošanas ilgumu;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23.17. nodarbinātā profesijas prasībām atbilstošu papildu zināšanu un prasmju apliecinošu dokumentu (sertifikāts, apliecība) ieguves izmaksas šo noteikumu </w:t>
            </w:r>
            <w:r w:rsidR="00000000" w:rsidRPr="00000000" w:rsidDel="00000000">
              <w:rPr>
                <w:rtl w:val="0"/>
              </w:rPr>
              <w:t xml:space="preserve">21.5.</w:t>
            </w:r>
            <w:r w:rsidR="00000000" w:rsidRPr="00000000" w:rsidDel="00000000">
              <w:rPr>
                <w:rtl w:val="0"/>
              </w:rPr>
              <w:t xml:space="preserve"> un </w:t>
            </w:r>
            <w:r w:rsidR="00000000" w:rsidRPr="00000000" w:rsidDel="00000000">
              <w:rPr>
                <w:rtl w:val="0"/>
              </w:rPr>
              <w:t xml:space="preserve">21.10.</w:t>
            </w:r>
            <w:r w:rsidR="00000000" w:rsidRPr="00000000" w:rsidDel="00000000">
              <w:rPr>
                <w:rtl w:val="0"/>
              </w:rPr>
              <w:t xml:space="preserve"> apakšpunktā minēto atbalstāmo darbību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sniegt precīzāku un plašāku skaidrojumu, ko tieši ietver 23.17.apakšpunktā norādītās izmaksas, piemēram, vai plānota attiecīgo mācību izdevumu (par iegūtu sertifikātu vai apliecību) kompensēšana. Kā tiks izvērtēts, noteikts ka tās tiešām ir atbilstošas un nepieciešamas papildu zināšanas?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Inguna Arāja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43.3. sniedz sadarbības iestādei informāciju par šo noteikumu </w:t>
            </w:r>
            <w:r w:rsidR="00000000" w:rsidRPr="00000000" w:rsidDel="00000000">
              <w:rPr>
                <w:rtl w:val="0"/>
              </w:rPr>
              <w:t xml:space="preserve">43.2.</w:t>
            </w:r>
            <w:r w:rsidR="00000000" w:rsidRPr="00000000" w:rsidDel="00000000">
              <w:rPr>
                <w:rtl w:val="0"/>
              </w:rPr>
              <w:t xml:space="preserve"> apakšpunktā minētajiem horizontālā principa rādītājiem un informāciju par šo noteikumu </w:t>
            </w:r>
            <w:r w:rsidR="00000000" w:rsidRPr="00000000" w:rsidDel="00000000">
              <w:rPr>
                <w:rtl w:val="0"/>
              </w:rPr>
              <w:t xml:space="preserve">4.</w:t>
            </w:r>
            <w:r w:rsidR="00000000" w:rsidRPr="00000000" w:rsidDel="00000000">
              <w:rPr>
                <w:rtl w:val="0"/>
              </w:rPr>
              <w:t xml:space="preserve"> punktā minēto rādītāju vērtību sasniegšanu;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papildināt punktu, norādot, ka finansējuma saņēmējs noteikto informāciju ievada Kohēzijas politikas fondu vadības informācijas sistēmā.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Rasa Teivāne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Lai nodrošinātu, ka Atveseļošanas un noturības mehānisma 2.3.1.4.i. investīcijas pasākuma ietvaros izstrādātā individuālo mācību kontu pieeja tiek turpināta pasākuma ietvaros, finansējuma saņēmējs nodrošina pakāpenisku: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noteikumu projekta 44. punktā minēto un izvērtēt, vai tās darbības un izdevumi, kas tiks veikti 4.2.4.2. pasākuma "Atbalsts pieaugušo individuālajās vajadzībās balstītai pieaugušo izglītībai” ietvaros īstenojamā projektā, nedublēs darbības un izdevumus, kas tiks veikti Atveseļošanas un noturības mehānisma 2.3.1.4.i. investīcijas pasākuma ietvaros. Vēršam uzmanību, ka dublēšana nav pieļaujama.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Morgana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Finansējuma saņēmējs nodrošina demarkāciju ar citiem līdzīgiem vai saistītiem projektiem un novērš dubultā finansējuma risku.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53.punktu, nosakot, ka finansējuma saņēmējs nodrošina nepārklāšanās principu ar citiem valsts un ārvalstu finanšu atbalsta instrumentiem.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Morgana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4.2.4.2.pasākums ir 2014.-2020.plānošanas perioda 8.4.1. SAM turpinājums un ka 8.4.1. SAM projekta īstenošanas laikā no mērķa grupas dalībniekiem saņemtas arī sūdzības par mācību saturisko kvalitāti, lūdzam anotācijā aprakstīt, kā tiks nodrošināta mācību saturiskā kvalitāte, t.sk. kādi kontroles un uzraudzības pasākumi no finansējuma saņēmēja puses tiks veikti, un kā  mācību satura kvalitāte (ja konstatēti trūkumi) ietekmēs sadarbības partneru (izglītības iestāžu) atkārtotu iesaisti projektā.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Vija Valpētere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rindkopā "4.2.2.4.pasākuma ietvaros plānotas šādas atbalstāmās darbības:" 7)apakšpunktā norādīts "informācijas sistēmas pieaugušo izglītības īstenošanas atbalstam attīstība un uzturēšana personu reģistrēšanas un datu uzkrāšanas nodrošināšanai projekta ietvaros noteikto mērķu sasniegšanai, nodrošinot pakāpenisku savietojamību vai pāreju uz Atveseļošanas un noturības mehānisma plāna 2. komponentes “Digitālā transformācija” 2.3. reformas un investīciju virziena “Digitālās prasmes” 2.3.1.4.i. investīcijas “Individuālo mācību kontu pieejas attīstība” (turpmāk - 2.3.1.4.i. investīcija) pasākumā izveidoto informācijas sistēmu." Lūdzam sniegt plašāku skaidrojumu ko tā ietver un kā praktiski plānots īstenot šo darbību, ko nozīmē "nodrošinot pakāpenisku savietojamību". Vai un kā tiks nodrošināta dubultā finansējuma nepieļaujamība?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Inguna Arāja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rindkopā par vienkāršotajām izmaksām ir norādīts: "Ja projekta īstenošanas laikā atbildīgā iestāde vai vadošā iestāde izstrādā vienkāršoto izmaksu metodiku kādām no minētajām izmaksām, tām piemēro atbildīgās iestādes vai vadošās iestādes izstrādāto metodiku", lūdzam precizēt no kura brīža tiktu piemērotas vienkāršoto izmaksu metodikas un cik ilgā termiņā tās indikatīvi varētu tikt izstrādātas.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Inguna Arāja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rindkopas "4.2.4.2. pasākuma īstenošanas nosacījumi paredz, ka "10) punktu "finansējuma saņēmējs nodrošina, ka pēc mācību piedāvājuma apstiprināšanas nodarbinātie var iepazīties ar konkrētajā gadā plānotajām mācību iespējām un pieteikties karjeras konsultācijām [..]" lūdzam papildināt ar informāciju, kādā veidā tiks nodrošināta nodarbināto iepazīšanās ar konkrētajā gadā plānotajām mācību iespējām, t.sk. skaidrojot, kā plānots uzrunāt prioritārās mērķa grupas un veicināt to interesi iesaistīties pieaugušo izglītībā, ņemot vērā, ka Valsts kontrole ir norādījusi, ka iepriekšējā periodā cilvēkiem, kuriem nav (vai ir ļoti vājas) digitālās prasmes un piekļuves internetam, informācija par mācību iespējām nebija sasniedzama.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Krūze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anotāciju papildināt ar informāciju, cik plānotas vienkāršoto izmaksu metodikas un to indikatīvos izstrādes termiņus. Vai vienkāršoto izmaksu metodikas ir plānots izstrādāt līdz projektu iesniegumu atlases uzsākšanas brīdim? Vai ir plānots par pamatu metodikas izstrādei izmantot ES struktūrfondu un Kohēzijas fonda 2014.-2020. gada plānošanas perioda vienkāršoto izmaksu metodiku "Vienas vienības izmaksu standarta likmes piemērošanas metodika profesionālās tālākizglītības, profesionālās pilnveides un neformālās izglītības programmu, kā arī modulārās profesionālās izglītības programmas moduļa vai moduļu kopas un studiju moduļa vai studiju kursa augstskolā vai koledžā īstenošanā darbības programmas „Izaugsme un nodarbinātība” 8.4.1.specifiskā atbalsta mērķa „Pilnveidot nodarbināto personu profesionālo kompetenci”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likumā “Par valsts budžetu 2023.gadam un budžeta ietvaru 2023., 2024. un 2025. gadam” 4.2.4. specifiskā atbalsta mērķa "Veicināt mūžizglītību, jo īpaši paredzot elastīgas kvalifikācijas paaugstināšanas un pārkvalificēšanās iespējas visiem, ņemot vērā digitālās prasmes, labāk paredzot pārmaiņas un jaunas prasības pēc prasmēm, kas balstītas  uz darba tirgus vajadzībām, atvieglojot karjeras maiņu un sekmējot profesionālo mobilitāti" 4.2.4.2 pasākuma "Atbalsts pieaugušo individuālajās vajadzībās balstītai pieaugušo izglītībai” īstenošanai nav plānots finansējums Izglītības un zinātnes ministrijas budžetā, lūdzam precizēt informāciju anotācijas 3.sadaļā "Tiesību akta projekta ietekme uz valsts budžetu un pašvaldību budžetiem"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Krūze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Projekta izstrādē iesaistītās institūcijas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sadaļu "Nevalstiskās organizācijas". Lūdzam papildināt anotāciju ar informāciju par biedrību un nodibinājumu iesaisti, nevalstisko organizāciju iesaisti MK noteikumu projekta izstrādē, lai nodrošinātu atbilstību Ministru prezidenta rezolūcijā* noteiktajam vai skaidrot, kāpēc iesaiste nav iespējama.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Ministru prezidenta 2021. gada 7. septembra rezolūciju Nr. 2021-1.1.1./50-50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"Izstrādājot specifisko atbalsta mērķu un to pasākumu ieviešanas nosacījumus Eiropas Savienības fondu 2021.—2027.gada plānošanas perioda atbalsta saņemšanai institūcijas atbildībā esošajās jomās, lūdzu jēgpilni iesaistīt attiecīgajā jomā strādājošās biedrības un nodibinājumus. Pēc specifisko atbalsta mērķu un to pasākumu ieviešanas nosacījumu apstiprināšanas Ministru kabinetā, lūdzu sagatavot un sniegt informāciju par sabiedrības pārstāvju iesaisti normatīvā regulējuma izstrādē Nevalstisko organizāciju un Ministru kabineta sadarbības memoranda īstenošanas padomes sekretariātam (uz e-pastu: nvo@mk.gov.lv)."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Krūze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23-TA-1361</w:t>
    </w:r>
    <w:r>
      <w:br/>
    </w:r>
    <w:r w:rsidR="00000000" w:rsidRPr="00000000" w:rsidDel="00000000">
      <w:rPr>
        <w:rtl w:val="0"/>
      </w:rPr>
      <w:t xml:space="preserve">Izdrukāts 05.12.2023. 22.48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23-TA-1361</w:t>
    </w:r>
    <w:r>
      <w:br/>
    </w:r>
    <w:r w:rsidR="00000000" w:rsidRPr="00000000" w:rsidDel="00000000">
      <w:rPr>
        <w:rtl w:val="0"/>
      </w:rPr>
      <w:t xml:space="preserve">Izdrukāts 05.12.2023. 22.48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Atzinumi_23-TA-1361.docx</dc:title>
</cp:coreProperties>
</file>

<file path=docProps/custom.xml><?xml version="1.0" encoding="utf-8"?>
<Properties xmlns="http://schemas.openxmlformats.org/officeDocument/2006/custom-properties" xmlns:vt="http://schemas.openxmlformats.org/officeDocument/2006/docPropsVTypes"/>
</file>