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svītrot norādi "veikti grozījumi noteikumu projektā",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iepriekšējo saskaņošanai nodoto projekta redakciju. Lūdzam arī pārskatīt anotāciju un pārliecināties, ka tajā ietvertie skaidrojumi atbilst iepriekš minētajam. Aicinām arī grozījumus pamatot secīgi, pārskatāmi un strukturēti (piemēram, atdalot tekstu rindkopās, izmantojot virsrakstus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24. punktā ietvertajā pārejas normā (saturiski arī 25. punktā) ir atsauce tikai uz projekta 1. pielikuma izmaiņām, aicinām izvērtēt, vai nav korelējošas izmaiņas 2. pielikumā attiecībā uz ēku būvniecību, projektēšanu un nojaukšanu, uz kurām arī nepieciešams ietvert atsauci. Turklāt, ņemot vērā, ka noteikumu pielikumi tiek izteikti jaunā redakcijā, aicinām arī izvērtēt nepieciešamību un iespēju precizēt 25. punkta formulējumu (īpaši attiecībā uz “</w:t>
            </w:r>
            <w:r w:rsidR="00000000" w:rsidRPr="00000000" w:rsidDel="00000000">
              <w:rPr>
                <w:u w:val="single"/>
                <w:rtl w:val="0"/>
              </w:rPr>
              <w:t xml:space="preserve">iekštelpu un ielu apgaismojumu energoefektivitātes prasību un kritēriju precizēšanu</w:t>
            </w:r>
            <w:r w:rsidR="00000000" w:rsidRPr="00000000" w:rsidDel="00000000">
              <w:rPr>
                <w:rtl w:val="0"/>
              </w:rPr>
              <w:t xml:space="preserve">”) vai arī anotācijā sniegt izvērstāku skaidrojumu, lai normatīvā akta lietotājam ir pilnībā skaidrs, kādas normas ir atliekoši piemērojamas.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24.05.2023.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24.05.2023.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