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22-TA-3346: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un kārtība personas kompetences atzīšanai uzņemšanai profesionālās izglītības programmas vēlākos mācību posmos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6.1. Projekta izstrādē iesaistītās institūcijas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precizēt anotācijas 6.1. apakšpunktā sniegto informāciju, ka saņemti atzinumi no Tieslietu ministrijas, Finanšu ministrijas, Kultūras ministrijas. Tieslietu ministrija, Finanšu ministrija un Kultūras ministrija nav nevalstiskās organizācijas.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7.1. Projekta izpildē iesaistītās institūcijas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atbilstoši vadlīnijām tiesību akta projekta sākotnējās ietekmes novērtējuma ziņojuma sagatavošanai vienotajā tiesību aktu izstrādes un saskaņošanas portālā anotācijā ir jāsniedz informācija, kā projekts ietekmēs katru no mērķgrupām – tieši vai netieši, kāds ir mērķgrupas lielums (ja to ir iespējams novērtēt), kā arī jebkādu citu skaidrojošu informāciju par mērķgrupu. Ņemot vērā minēto, </w:t>
            </w:r>
            <w:r w:rsidR="00000000" w:rsidRPr="00000000" w:rsidDel="00000000">
              <w:rPr>
                <w:u w:val="single"/>
                <w:rtl w:val="0"/>
              </w:rPr>
              <w:t xml:space="preserve">lūdzam atkārtoti precizēt anotācijas 7. sadaļu, jo nav sniegta informācija kā noteikumu projekts ietekmēs katru institūciju.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Papildus lūdzam aizpildīt anotācijas 7.2., 7.3. un 7.4. apakšpunktu, sniedzot informāciju, vai attiecīgajām institūcijām</w:t>
            </w:r>
            <w:r w:rsidR="00000000" w:rsidRPr="00000000" w:rsidDel="00000000">
              <w:rPr>
                <w:u w:val="single"/>
                <w:rtl w:val="0"/>
              </w:rPr>
              <w:t xml:space="preserve"> administratīvais slogs palielināsies, samazināsies vai paliks nemainīgs. </w:t>
            </w:r>
            <w:r w:rsidR="00000000" w:rsidRPr="00000000" w:rsidDel="00000000">
              <w:rPr>
                <w:rtl w:val="0"/>
              </w:rPr>
              <w:t xml:space="preserve">Vēršam uzmanību, ka publiskai pārvaldei slogu aprēķina sākot no 1 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. Noteikumu projekts paredz virkni veicamo darbību (dokumentu iesniegšanu, dokumentu pieņemšanu, komisijas izveidošanu un tās darbību, lēmumu pieņemšanu, rīkojuma izdošanu u.c.), kā arī var radīt atbilstības izmaksas.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22-TA-3346</w:t>
    </w:r>
    <w:r>
      <w:br/>
    </w:r>
    <w:r w:rsidR="00000000" w:rsidRPr="00000000" w:rsidDel="00000000">
      <w:rPr>
        <w:rtl w:val="0"/>
      </w:rPr>
      <w:t xml:space="preserve">Izdrukāts 04.01.2023. 18.45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22-TA-3346</w:t>
    </w:r>
    <w:r>
      <w:br/>
    </w:r>
    <w:r w:rsidR="00000000" w:rsidRPr="00000000" w:rsidDel="00000000">
      <w:rPr>
        <w:rtl w:val="0"/>
      </w:rPr>
      <w:t xml:space="preserve">Izdrukāts 04.01.2023. 18.45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