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22-TA-3704: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piešķiršanas kārtība Eiropas Lauksaimniecības fonda lauku attīstībai platībatkarīgo un dzīvniekatkarīgo saistību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ja tas ir saimnieciskās darbības veicējs, tad saskaņā ar Komisijas 2022. gada 14. decembra Regulas (ES) </w:t>
            </w:r>
            <w:r w:rsidR="00000000" w:rsidRPr="00000000" w:rsidDel="00000000">
              <w:rPr>
                <w:rtl w:val="0"/>
              </w:rPr>
              <w:t xml:space="preserve">2022/2472</w:t>
            </w:r>
            <w:r w:rsidR="00000000" w:rsidRPr="00000000" w:rsidDel="00000000">
              <w:rPr>
                <w:rtl w:val="0"/>
              </w:rPr>
              <w:t xml:space="preserve">, ar kuru, piemērojot Līguma par Eiropas Savienības darbību 107. un 108. pantu, dažu kategoriju atbalstu lauksaimniecības un mežsaimniecības nozarē un lauku apvidos atzīst par saderīgu ar iekšējo tirgu (Eiropas Savienības Oficiālais Vēstnesis, 2022. gada 21. decembra, Nr. L 327), (turpmāk – regula 2022/2472) 2. panta 59. punktu tas brīdī, kad tiek pieņemts lēmums par šo noteikumu </w:t>
            </w:r>
            <w:r w:rsidR="00000000" w:rsidRPr="00000000" w:rsidDel="00000000">
              <w:rPr>
                <w:rtl w:val="0"/>
              </w:rPr>
              <w:t xml:space="preserve">2.2. </w:t>
            </w:r>
            <w:r w:rsidR="00000000" w:rsidRPr="00000000" w:rsidDel="00000000">
              <w:rPr>
                <w:rtl w:val="0"/>
              </w:rPr>
              <w:t xml:space="preserve">apakšpunktā</w:t>
            </w:r>
            <w:r w:rsidR="00000000" w:rsidRPr="00000000" w:rsidDel="00000000">
              <w:rPr>
                <w:rtl w:val="0"/>
              </w:rPr>
              <w:t xml:space="preserve"> minētās intervences atbalsta piešķiršanu, neatbilst nevienai no grūtībās nonākuša uzņēmuma pazīmēm, kas noteiktas normatīvajos aktos par valsts un Eiropas Savienības atbalsta piešķiršanas, administrēšanas un uzraudzības vispārējo kārtību lauku un zivsaimniecības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Nosacījumu par neatbilstību  grūtībās nonākuša uzņēmuma statusam nepiemērot NATURA2000 maksājumiem, jo palielinoties NATURA2000 teritorijām, var veidoties situācija, kad uzņēmums nonāk grūtībās, jo ir investējis resursus meža iegādē un apsaimniekošanā pirms aprobežojumu noteikšanas, bet stājoties spēkā aprobežojumiem nonāk finanšu grūtībās.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 (LMIB)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22-TA-3704</w:t>
    </w:r>
    <w:r>
      <w:br/>
    </w:r>
    <w:r w:rsidR="00000000" w:rsidRPr="00000000" w:rsidDel="00000000">
      <w:rPr>
        <w:rtl w:val="0"/>
      </w:rPr>
      <w:t xml:space="preserve">Izdrukāts 03.04.2023. 10.14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22-TA-3704</w:t>
    </w:r>
    <w:r>
      <w:br/>
    </w:r>
    <w:r w:rsidR="00000000" w:rsidRPr="00000000" w:rsidDel="00000000">
      <w:rPr>
        <w:rtl w:val="0"/>
      </w:rPr>
      <w:t xml:space="preserve">Izdrukāts 03.04.2023. 10.14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Atzinumi_22-TA-3704.docx</dc:title>
</cp:coreProperties>
</file>

<file path=docProps/custom.xml><?xml version="1.0" encoding="utf-8"?>
<Properties xmlns="http://schemas.openxmlformats.org/officeDocument/2006/custom-properties" xmlns:vt="http://schemas.openxmlformats.org/officeDocument/2006/docPropsVTypes"/>
</file>