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izskatījusi VARAM sagatavotos grozījumus Elektroenerģijas tirgus likumā un iebilst pret tā pirmo pantu KEM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pirmajā pantā KEM piedāvā aizsargātā lietotāja statusu noteikt šādām sociālajām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trūcīga vai maznodrošināta mājsaimniecība;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daudzbērnu ģimene vai mājsaimniecība, kuras aprūpē ir bērns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persona ar I invaliditātes grupu, kura izlieto elektroenerģiju savā mājsaimniecībā pašas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elektroenerģijas un tās piegādes izmaksu vispārējo sadārdzinājumu, par ko liecina šogad valsts sniegtais atbalsts pieslēguma maksas daļējai kompensēšanai mājsaimniecībām visās ienākumu kvintilēs, ir acīmredzami, ka pēc vispārējā valsts atbalsta izbeigšanās vairākām sociālajām grupām ar augstu nabadzības risku, piemēram, personām ar II un III invaliditātes grupu, mājsaimniecībām ar bērniem, kurās viens vai abi vecāki persona ar invaliditāti, kā arī viena vecāka ģimenēm (bērnam nav noteikta paternitāte) saglabāsies nepieciešamība pēc atbalsta. Liela daļa no šīm mājsaimniecībām aizsargātā lietotāja statusam atbilst pēc pazīmes “trūcīga vai maznodrošināta mājsaimniecība”, tomēr, ņemot vērā, ka tas ir saistīts ar regulārām administrēšanas procedūrām, kas neatbilst Valsts pārvaldies iekārtas likumā noteiktajam principam, ka Valsts pārvaldi organizē pēc iespējas ērti un pieejami privātpersonai, LDDK ieskatā šīs augsta nabadzības riska grupas ir ietveramas aizsargātā lietotāja kategorijā pēc sociālās grupas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1.panta daļu, kas attiecas uz Likuma 1.panta otrās daļas otro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aizsargātais lietotājs — trūcīga vai maznodrošināta mājsaimniecība, daudzbērnu ģimene vai mājsaimniecība, kuras aprūpē ir bērns ar invaliditāti, persona ar invaliditāti   vai viena vecāka ģimene, kura izlieto elektroenerģiju savā mājsaimniecībā pašas vajadzībām (galapatēriņam);”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06.11.2023. 17.38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06.11.2023. 17.38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Atzinumi_22-TA-1828.docx</dc:title>
</cp:coreProperties>
</file>

<file path=docProps/custom.xml><?xml version="1.0" encoding="utf-8"?>
<Properties xmlns="http://schemas.openxmlformats.org/officeDocument/2006/custom-properties" xmlns:vt="http://schemas.openxmlformats.org/officeDocument/2006/docPropsVTypes"/>
</file>