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“Sabiedrības izpratnes veicināšana par klimatneitralitātes un klimatnoturības nozīmi un iespējām”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iesniedzējs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papildināt iesniedzēju sarakstu dodot iespēju pretendēt valsts pārvaldes institūcijām, kā  arī pašvaldības kapitālsabiedrībām, kas būtu lietderīgi, lai veidotu kopēju pašvaldības kampaņu.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a projekta ietvaros plānota raidījumu, interviju, interaktīvo sociālo diskusiju vai raidierakstu veidošana un izplatīšana – pašvaldība vai tās iestāde, valsts tiešās pārvaldes iestāde, ja tām noslēgts līgums par ētera laika izmantošanu ar Latvijas Republikā reģistrētu elektronisko plašsaziņas līdzekli, vai Latvijas Republikā reģistrēts elektroniskais plašsaziņas līdzeklis, Latvijas Republikā reģistrēta biedrība vai nodibinājums, pašvaldība vai tās iestāde, valsts tiešās pārvaldes iestāde, ja tām noslēgts līgums ar Latvijas Republikā reģistrētu masu informācijas līdzekli";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gramatiski precizēt apakšpunkta pirmo vārdu uz "ja"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Eberharde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25.09.2023.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25.09.2023.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Atzinumi_22-TA-1792.docx</dc:title>
</cp:coreProperties>
</file>

<file path=docProps/custom.xml><?xml version="1.0" encoding="utf-8"?>
<Properties xmlns="http://schemas.openxmlformats.org/officeDocument/2006/custom-properties" xmlns:vt="http://schemas.openxmlformats.org/officeDocument/2006/docPropsVTypes"/>
</file>