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un publisko iepirkumu jomu regulējošajos normatīvajos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14. punktā svītrot vārdus "un publisko iepirkumu jomu regulējošajos normatīvajos aktos noteiktajam", jo nav saprotams, kādēļ iesniedzot projekta iesniegumu, jāpievieno apliecinājums par interešu konflikta neesību saskaņā ar publisko iepirkumu jomu regulējošajos normatīvajos aktos noteikto. Proti, minētie normatīvie akti atbilstoši noteikumu projekta 23. punktam ir jāievēro, piedaloties iepirkumos apstiprināta projekta ietvaros, nevis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08.12.2023.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08.12.2023.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Atzinumi_23-TA-2242.docx</dc:title>
</cp:coreProperties>
</file>

<file path=docProps/custom.xml><?xml version="1.0" encoding="utf-8"?>
<Properties xmlns="http://schemas.openxmlformats.org/officeDocument/2006/custom-properties" xmlns:vt="http://schemas.openxmlformats.org/officeDocument/2006/docPropsVTypes"/>
</file>