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savienotāja konfigurēšanu ir atbildīgs attiecīgais datu devējs vai datu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punkta redakcijas nav viennozīmīgi skaidrs atbildības sadalījums starp datu devēju un datu saņēmēju. Lūdzam precizēt attiecīgo tiesūbu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Personas datu pseidonimizēšanu un anonimizēšanu datu devējs vai cita institūcija atbilstoši normatīvajiem aktiem var veikt izmantojot DAGR funkcionalitāti tiem savā pārziņā esošajiem datiem, kuri ir iekļauti DAGR datu krātuvē.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normu, lai nodrošinātu viennozīmīgu skaidrību par datu pseidonimizēšanas vai anonimizēšanas vietu. Šobrīd nav skaidrs, vai minētās darbības var tikt veiktas DAGR datu krātuvē vai datu devēja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Aģentūra lietošanas noteikumus publicē aģentūras tīmekļvietnē un aktualizē tos pēc nepieciešamības.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72. panta ceturtajai daļai, iekšējais normatīvais akts ir saistošs iestādei (tās struktūrvienībai, darbiniekiem) vai amatpersonām, attiecībā uz kurām tas izdots. Tādējādi aģentūras izdotie iekšējie normatīvie akti nav saistoši citām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Aģentūra par veiktajām izmaiņām lietošanas noteikumos informē datu devēju un datu saņēmēju divas darba dienas pirms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divu darba dienu informēšanas termiņš pirms izmainu veikšanas sistēmas lietošanas noteikumos nav samērīgs lai nodrošinātu attiecīgo izmaiņu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DAGR ir iekļautas datu kopas vismaz no šādām informācijas sistēmām apjomā, kas ir noteikts VIRSIS: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Valsts informācijas sistēmu likumā, kas spēkā stājušies šā gada 1. jūnijā un nosaka pārejas periodu attiecībā uz Ministru kabineta 2019. gada 5. novembra noteikumu Nr. 523 "Valsts informācijas resursu, sistēmu un sadarbspējas informācijas sistēmas noteikumi" piemērošanu un jauni noteikumi par VIRSI vēl nav izstrādāti, līdz ar to nav skaidrs datu devēja pienākumu un tiesību apjoms par nododamo datu kopām, to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Rudmane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7.sadaļu ar informāciju par to, vai un kāda būs administratīvā ietekme (finansiālā, cilvēkresursu) uz visām institūcijām, kuru pārziņā ir attiecīgās informācijas sistēmas, kas noteiktas Noteikumu projekta 30.punktā kā datu devējas, kuru datu kopas tiks iekļautas DAGR.  Šobrīd Anotācijas  7.sadaļā ietekme paredzēta tikai uz Vides aizsardzības un reģionālās attīstības ministriju un Valsts reģionālās attīstības aģentūru, bet sadaļa par administratīvo slogu uz citām iesaistītajām institūcijām nav aizpildīta.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Dambīte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izplatīšana ir saistīta ar Vispārīgās datu aizsardzības regulas prasību ievērošanu, lūdzu sniegt skaidrojumu par  personas datu aizsardzību un ietekmi uz šo prasību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Dambīte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 uz publisku pakalpojumu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nosakot datu devējus un datu saņēmējus, attiecīgās datu kopas, kā arī izviedojot šo datu izplatīšanas platformu netiek ietekmēta valsts pārvaldes pakalpojuma sniegšana, un attiecīgi to norādīt šajā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Dambīte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skaidrojumu kā DAGR izveidošana ietekmēs citu valsts informācijas sistēmu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Dambīte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09.11.2022. 20.25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09.11.2022.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