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25-TA-2273: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4.2.1.1. pasākuma "Infrastruktūras izveide starpnozaru sadarbības un atbalsta sistēmas izveidei bērnu attīstībai"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Projekta iesniegumā pasākuma īstenošanai kopējo attiecināmo finansējumu plāno 4 350 000 </w:t>
            </w:r>
            <w:r w:rsidR="00000000" w:rsidRPr="00000000" w:rsidDel="00000000">
              <w:rPr>
                <w:i w:val="1"/>
                <w:rtl w:val="0"/>
              </w:rPr>
              <w:t xml:space="preserve">euro </w:t>
            </w:r>
            <w:r w:rsidR="00000000" w:rsidRPr="00000000" w:rsidDel="00000000">
              <w:rPr>
                <w:rtl w:val="0"/>
              </w:rPr>
              <w:t xml:space="preserve">apmērā, tai skaitā Eiropas Reģionālās attīstības fonda finansējumu – 3 697 500 </w:t>
            </w:r>
            <w:r w:rsidR="00000000" w:rsidRPr="00000000" w:rsidDel="00000000">
              <w:rPr>
                <w:i w:val="1"/>
                <w:rtl w:val="0"/>
              </w:rPr>
              <w:t xml:space="preserve">euro </w:t>
            </w:r>
            <w:r w:rsidR="00000000" w:rsidRPr="00000000" w:rsidDel="00000000">
              <w:rPr>
                <w:rtl w:val="0"/>
              </w:rPr>
              <w:t xml:space="preserve">apmērā un valsts budžeta līdzfinansējumu – 652 500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saņemts Eiropas Komisijas lēmums par vidusposma pārskatu un apstiprināti attiecīgie Kohēzijas politikas programmas 2021.–2027. gada grozījumi, kas palielina pasākumam pieejamo finansējumu (precizēts 7. punkts), lūdzam svītrot 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Geidāne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 tiešās attiecināmās personāla izmaksas, kas ir šo noteikumu </w:t>
            </w:r>
            <w:r w:rsidR="00000000" w:rsidRPr="00000000" w:rsidDel="00000000">
              <w:rPr>
                <w:rtl w:val="0"/>
              </w:rPr>
              <w:t xml:space="preserve">18.8. </w:t>
            </w:r>
            <w:r w:rsidR="00000000" w:rsidRPr="00000000" w:rsidDel="00000000">
              <w:rPr>
                <w:rtl w:val="0"/>
              </w:rPr>
              <w:t xml:space="preserve">apakšpunktā</w:t>
            </w:r>
            <w:r w:rsidR="00000000" w:rsidRPr="00000000" w:rsidDel="00000000">
              <w:rPr>
                <w:rtl w:val="0"/>
              </w:rPr>
              <w:t xml:space="preserve"> minētās atbalstāmās darbības attiecināmās izmaksas un ko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vienoto likmi 20 procentu apmērā no pārējām šo noteikumu </w:t>
            </w:r>
            <w:r w:rsidR="00000000" w:rsidRPr="00000000" w:rsidDel="00000000">
              <w:rPr>
                <w:rtl w:val="0"/>
              </w:rPr>
              <w:t xml:space="preserve">19.1.2. </w:t>
            </w:r>
            <w:r w:rsidR="00000000" w:rsidRPr="00000000" w:rsidDel="00000000">
              <w:rPr>
                <w:rtl w:val="0"/>
              </w:rPr>
              <w:t xml:space="preserve">apakšpunktā</w:t>
            </w:r>
            <w:r w:rsidR="00000000" w:rsidRPr="00000000" w:rsidDel="00000000">
              <w:rPr>
                <w:rtl w:val="0"/>
              </w:rPr>
              <w:t xml:space="preserve"> minētajām pārējām projekta tiešajām attiecināmajām īstenošanas izmaksām. Minētās atbalstāmās darbības ietvaros ir attiecināmas finansējuma saņēmēja projekta vadības personāla un īstenošanas personāla, kā arī sadarbības partnera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esošajā Ministru kabineta noteikumu redakcijā izdevumu pozīcijās ar noteiktu procentuālo ierobežojumu (piemēram, 19.1.1. apakšpunktā, 21. punktā) nav noteikts, vai procentuālais ierobežojums aprēķināms no projekta plānotajām vai faktiskajām attiecināmajām izmaksām, kas atbilst Vadošās iestādes Vadlīniju attiecināmo izmaksu noteikšanai Eiropas Savienības kohēzijas politikas programmas 2021.-2027.gada plānošanas periodā (turpmāk- vadlīnijas) 19.punktam, tomēr, ņemot vērā atsevišķus Revīzijas iestādes konstatējumus attiecībā uz situācijām, kad projekta īstenošanas gaitā rodas neatbilstoši veiktie izdevumi vai ietaupījums, kas var novest pie procentuālā ierobežojuma pārsnieguma konstatēšanas, pat ja izdevumi atbilst apstiprinātajam projekta budžetam, vadlīnijās paredzēts veikt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iespēju precizēt procentuālā ierobežojuma piemērošanas nosacījumus, nodrošinot, lai tie būtu viennozīmīgi, saprotami un praksē vienādi piemērojami visām iesaistītajām pusēm, nosakot, ka procentuālais ierobežojums tiek aprēķināts attiecībā pret projekta plānotajām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Geidāne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anotācijā minēto darbību provizorisko izmaksu (tiešās attiecināmās izmaksas) atšifrējumu, ņemot vērā, ka minēto izmaksu (MKN 18.1.-18.8.) kopsumma veido 4 116 466 euro, savukārt piemērojot netiešo izmaksu vienoto likmi 7 procentu apmērā no tiešajām attiecināmajām izmaksām (MKN 18.1.-18.8.), kopsumma pārsniedz pasākumam pieejamo kopējo attiecināmo finansējumu 4 350 000 euro. Aprēķins: 4 116 466 *1.07=4 404 618,62.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aprakstu ar norādi uz konkrētu NAP2027 pasākumu/uzdevumu, kuru mērķu sasniegšanu sekmēs 4.2.1.1. pasākuma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 anotācijas 2.2.3. punktā norādīto ietekmes aprakstu: "Jaunas darba vietas reģionos.", lai ir saprotamas norādītās ietekmes veidošanās cēloņsakarības.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25-TA-2273</w:t>
    </w:r>
    <w:r>
      <w:br/>
    </w:r>
    <w:r w:rsidR="00000000" w:rsidRPr="00000000" w:rsidDel="00000000">
      <w:rPr>
        <w:rtl w:val="0"/>
      </w:rPr>
      <w:t xml:space="preserve">Izdrukāts 13.02.2026. 15.26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25-TA-2273</w:t>
    </w:r>
    <w:r>
      <w:br/>
    </w:r>
    <w:r w:rsidR="00000000" w:rsidRPr="00000000" w:rsidDel="00000000">
      <w:rPr>
        <w:rtl w:val="0"/>
      </w:rPr>
      <w:t xml:space="preserve">Izdrukāts 13.02.2026. 15.26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Atzinumi_25-TA-2273.docx</dc:title>
</cp:coreProperties>
</file>

<file path=docProps/custom.xml><?xml version="1.0" encoding="utf-8"?>
<Properties xmlns="http://schemas.openxmlformats.org/officeDocument/2006/custom-properties" xmlns:vt="http://schemas.openxmlformats.org/officeDocument/2006/docPropsVTypes"/>
</file>