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padome(LOSP) kategoriski iebilst pret Rīcības plāna sadaļas: Administratīvo un birokrātisko šķēršļu mazināšanas plāns tirdzniecības nozarē ietvertajiem punktiem 1.4. un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likuma regulejums tika ieviests pamatojoties uz patērētāju vēlmi izvēlēties sev vēlamo produktu un skaidri un nepārprotami, iespējami vienkāršākā veidā noteikt produkta izcelsmes valsti. Šādas normas mīkstināšana vai atcelšana būtiski pasliktinās patērētāju iespējas noskaidrot produkta izcelsmi tādejādi atgriežoties iepriekšējā situācijā, kur ar dažāda veida iepakojuma mārketinga palīdzību patērētājam tika radīts iespaids, ka prece ir ražota Latvijā, kaut gan tā nebija.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pretēji, būtu nepieciešams noteikt papildus prasības izcelsmes valsts norādēm, piemēram reklāmas materiālos.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Rīcības plāna sadaļas Administratīvo un birokrātisko šķēršļu mazināšanas plāns tirdzniecības nozarē punktus 1.4. un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Gūtmanis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09.03.2026.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09.03.2026.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