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rīkojumā Nr. 128 "Par 2.1.1.1.i. investīcijas projekta "Mediju satura integrācija Latvijas digitālā kultūras mantojuma platformā"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Pēc projekta pabeigšanas noteikt projekta rezultātu uzturēšanas izmaksas 2027.gadā 123 535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2028.gadā 123 835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no 2029.gada un turpmāk 124 135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gadā, Kultūras ministrijai pieprasot papildu finansējumu normatīvajos aktos noteiktajā kārtībā.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atsaukties uz normatīvajiem aktiem </w:t>
            </w:r>
            <w:r w:rsidR="00000000" w:rsidRPr="00000000" w:rsidDel="00000000">
              <w:rPr>
                <w:u w:val="single"/>
                <w:rtl w:val="0"/>
              </w:rPr>
              <w:t xml:space="preserve">noteiktā jomā </w:t>
            </w:r>
            <w:r w:rsidR="00000000" w:rsidRPr="00000000" w:rsidDel="00000000">
              <w:rPr>
                <w:rtl w:val="0"/>
              </w:rPr>
              <w:t xml:space="preserve">atbilstoši Ministru kabineta 2009. gada 3. februāra noteikumu Nr. 108 "Normatīvo aktu projektu sagatavošanas noteikumi" 137. punktam.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25-TA-3045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25-TA-3045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