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25-TA-2022: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Labklājības nozares un pašvaldību sociālās jomas informācijas sistēmas "DigiSoc"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36.9. Nacionālajam veselības dienestam – šo noteikumu 8.1.7.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aprūpes finansēšanas likuma 11.panta otrās daļas 10.,11. un 12.punkts nosaka, ka tiesības saņemt veselības aprūpes pakalpojumus valsts obligātās veselības apdrošināšanas ietvaros ir šā likuma 9. panta pirmās daļas 1., 2., 3., 4. un 6. punktā minētajām personām, ja tās pieder pie vienas no šādām personu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personas, kuras saņem pakalpojumus ilgstošas sociālās aprūpes un sociālās rehabilitācijas institūcijās, kas ir reģistrētas sociālo pakalpojumu sniedzēju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personas, kuras izstājušās no sociālo pakalpojumu sniedzēju reģistrā reģistrētām ilgstošas sociālās aprūpes un sociālās rehabilitācijas institūcijām, lai saņemtu sociālās aprūpes un sociālās rehabilitācijas pakalpojumus dzīvesvietā;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pilngadīgas personas, kuras saņem sociālo pakalpojumu sniedzēju reģistrā reģistrētas grupu mājas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Nacionālais veselības dienests (turpmāk - Dienests)  uzskata, ka piedāvātā noteikumu projekta 36.9.apakšpunkta redakcija neparedz visas nepieciešamās informācijas nodošanu Dienestam par Veselības aprūpes finansēšanas likuma 11.panta otrās daļas 10.,11. un 12.punktos norādītajām personu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Kundzāns (NVD)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Informācijas sistēmas lietotāji datus no informācijas sistēmas ir tiesīgi iegūt, labot un dzēst atbilstoši tiem piešķirtajām lietotāja tiesībām.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tiesību akta projektā "</w:t>
            </w:r>
            <w:r w:rsidR="00000000" w:rsidRPr="00000000" w:rsidDel="00000000">
              <w:rPr>
                <w:i w:val="1"/>
                <w:rtl w:val="0"/>
              </w:rPr>
              <w:t xml:space="preserve">Labklājības nozares un pašvaldību sociālās jomas informācijas sistēmas "DigiSoc" noteikumi</w:t>
            </w:r>
            <w:r w:rsidR="00000000" w:rsidRPr="00000000" w:rsidDel="00000000">
              <w:rPr>
                <w:rtl w:val="0"/>
              </w:rPr>
              <w:t xml:space="preserve">" paredzēt punktu, kas nosaka, ka "Bērna māja" ietvaros uzkrātajiem datiem piekļuve ir atļauta tikai tām institūcijām un speciālistiem, kuru pienākumos saskaņā ar normatīvajiem aktiem ietilpst bērna aizsardzības un sociālās rehabilitācijas pasākumu nodrošināšana, kā arī kriminālprocesa ietvaros pilnvarotajām amatpersonām. Piekļuve tiek nodrošināta tikai tādā apjomā, kas nepieciešams konkrētā normatīvajos aktos noteiktā uzdevuma izpildei. Katrs piekļuves gadījums tiek reģistrēts auditācijas pierakstos.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Dagnija Butāne (VM)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25-TA-2022</w:t>
    </w:r>
    <w:r>
      <w:br/>
    </w:r>
    <w:r w:rsidR="00000000" w:rsidRPr="00000000" w:rsidDel="00000000">
      <w:rPr>
        <w:rtl w:val="0"/>
      </w:rPr>
      <w:t xml:space="preserve">Izdrukāts 23.09.2025. 19.12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25-TA-2022</w:t>
    </w:r>
    <w:r>
      <w:br/>
    </w:r>
    <w:r w:rsidR="00000000" w:rsidRPr="00000000" w:rsidDel="00000000">
      <w:rPr>
        <w:rtl w:val="0"/>
      </w:rPr>
      <w:t xml:space="preserve">Izdrukāts 23.09.2025. 19.12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Atzinumi_25-TA-2022.docx</dc:title>
</cp:coreProperties>
</file>

<file path=docProps/custom.xml><?xml version="1.0" encoding="utf-8"?>
<Properties xmlns="http://schemas.openxmlformats.org/officeDocument/2006/custom-properties" xmlns:vt="http://schemas.openxmlformats.org/officeDocument/2006/docPropsVTypes"/>
</file>