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5572F" w14:textId="77777777" w:rsidR="00786DAF" w:rsidRDefault="00786DAF" w:rsidP="002C22B9">
      <w:pPr>
        <w:jc w:val="center"/>
        <w:rPr>
          <w:sz w:val="20"/>
        </w:rPr>
      </w:pPr>
      <w:bookmarkStart w:id="0" w:name="_GoBack"/>
      <w:bookmarkEnd w:id="0"/>
    </w:p>
    <w:p w14:paraId="476E8455" w14:textId="77777777" w:rsidR="002C22B9" w:rsidRDefault="002C22B9" w:rsidP="002C22B9">
      <w:pPr>
        <w:jc w:val="center"/>
        <w:rPr>
          <w:sz w:val="20"/>
        </w:rPr>
      </w:pPr>
      <w:r w:rsidRPr="00914649">
        <w:rPr>
          <w:sz w:val="20"/>
        </w:rPr>
        <w:t>Rīgā</w:t>
      </w:r>
    </w:p>
    <w:p w14:paraId="75D79E0C"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62C591A" w14:textId="77777777" w:rsidTr="009F77B9">
        <w:tc>
          <w:tcPr>
            <w:tcW w:w="450" w:type="dxa"/>
            <w:tcBorders>
              <w:top w:val="nil"/>
              <w:left w:val="nil"/>
              <w:bottom w:val="nil"/>
              <w:right w:val="nil"/>
            </w:tcBorders>
          </w:tcPr>
          <w:p w14:paraId="6BD72526"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37B90722" w14:textId="62F28DB8"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D60E8">
              <w:rPr>
                <w:szCs w:val="24"/>
              </w:rPr>
              <w:t>06.11.2020</w:t>
            </w:r>
            <w:r w:rsidRPr="00615936">
              <w:rPr>
                <w:szCs w:val="24"/>
              </w:rPr>
              <w:fldChar w:fldCharType="end"/>
            </w:r>
            <w:bookmarkEnd w:id="1"/>
          </w:p>
        </w:tc>
        <w:tc>
          <w:tcPr>
            <w:tcW w:w="708" w:type="dxa"/>
            <w:tcBorders>
              <w:top w:val="nil"/>
              <w:left w:val="nil"/>
              <w:bottom w:val="nil"/>
              <w:right w:val="nil"/>
            </w:tcBorders>
          </w:tcPr>
          <w:p w14:paraId="50538595"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2F3883FD" w14:textId="1453CAE4"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D3A9A">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D60E8">
              <w:rPr>
                <w:szCs w:val="24"/>
              </w:rPr>
              <w:t>5875</w:t>
            </w:r>
            <w:r w:rsidRPr="00615936">
              <w:rPr>
                <w:szCs w:val="24"/>
              </w:rPr>
              <w:fldChar w:fldCharType="end"/>
            </w:r>
            <w:bookmarkEnd w:id="3"/>
          </w:p>
        </w:tc>
      </w:tr>
      <w:tr w:rsidR="002C22B9" w:rsidRPr="00615936" w14:paraId="7CC738CF" w14:textId="77777777" w:rsidTr="009F77B9">
        <w:trPr>
          <w:trHeight w:val="188"/>
        </w:trPr>
        <w:tc>
          <w:tcPr>
            <w:tcW w:w="450" w:type="dxa"/>
            <w:tcBorders>
              <w:top w:val="nil"/>
              <w:left w:val="nil"/>
              <w:bottom w:val="nil"/>
              <w:right w:val="nil"/>
            </w:tcBorders>
          </w:tcPr>
          <w:p w14:paraId="0E630C4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8DA7408"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3FA21CE4"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93B2354" w14:textId="77777777" w:rsidR="002C22B9" w:rsidRPr="00615936" w:rsidRDefault="002C22B9" w:rsidP="002C22B9">
            <w:pPr>
              <w:tabs>
                <w:tab w:val="left" w:pos="360"/>
                <w:tab w:val="left" w:pos="3960"/>
              </w:tabs>
              <w:rPr>
                <w:sz w:val="20"/>
              </w:rPr>
            </w:pPr>
          </w:p>
        </w:tc>
      </w:tr>
      <w:tr w:rsidR="002C22B9" w:rsidRPr="00615936" w14:paraId="694DE5F3" w14:textId="77777777" w:rsidTr="009F77B9">
        <w:tc>
          <w:tcPr>
            <w:tcW w:w="450" w:type="dxa"/>
            <w:tcBorders>
              <w:top w:val="nil"/>
              <w:left w:val="nil"/>
              <w:bottom w:val="nil"/>
              <w:right w:val="nil"/>
            </w:tcBorders>
          </w:tcPr>
          <w:p w14:paraId="01DB619A"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583C02EC" w14:textId="56190E38"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D3A9A">
              <w:rPr>
                <w:szCs w:val="24"/>
              </w:rPr>
              <w:t>22.10.2020</w:t>
            </w:r>
            <w:r w:rsidRPr="00615936">
              <w:rPr>
                <w:szCs w:val="24"/>
              </w:rPr>
              <w:fldChar w:fldCharType="end"/>
            </w:r>
            <w:bookmarkEnd w:id="4"/>
          </w:p>
        </w:tc>
        <w:tc>
          <w:tcPr>
            <w:tcW w:w="708" w:type="dxa"/>
            <w:tcBorders>
              <w:top w:val="nil"/>
              <w:left w:val="nil"/>
              <w:bottom w:val="nil"/>
              <w:right w:val="nil"/>
            </w:tcBorders>
          </w:tcPr>
          <w:p w14:paraId="1148F780"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374B92DC" w14:textId="0883AD98"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D3A9A">
              <w:rPr>
                <w:szCs w:val="24"/>
              </w:rPr>
              <w:t>VSS-911, 42  23§</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5A1A511C" w14:textId="77777777" w:rsidTr="000C0DD4">
        <w:trPr>
          <w:jc w:val="right"/>
        </w:trPr>
        <w:tc>
          <w:tcPr>
            <w:tcW w:w="4644" w:type="dxa"/>
          </w:tcPr>
          <w:p w14:paraId="705CC6DF" w14:textId="77777777" w:rsidR="006F054F" w:rsidRDefault="006F054F" w:rsidP="000C0DD4">
            <w:pPr>
              <w:jc w:val="right"/>
              <w:rPr>
                <w:b/>
                <w:bCs/>
                <w:szCs w:val="24"/>
                <w:lang w:eastAsia="lv-LV"/>
              </w:rPr>
            </w:pPr>
            <w:bookmarkStart w:id="6" w:name="org_nos"/>
          </w:p>
          <w:p w14:paraId="6C7B87EC" w14:textId="201476A4" w:rsidR="000C0DD4" w:rsidRDefault="007D3A9A" w:rsidP="000C0DD4">
            <w:pPr>
              <w:jc w:val="right"/>
              <w:rPr>
                <w:b/>
                <w:bCs/>
                <w:szCs w:val="24"/>
                <w:lang w:eastAsia="lv-LV"/>
              </w:rPr>
            </w:pPr>
            <w:r>
              <w:rPr>
                <w:b/>
                <w:bCs/>
                <w:szCs w:val="24"/>
                <w:lang w:eastAsia="lv-LV"/>
              </w:rPr>
              <w:t>Vides aizsardzības un reģionālās attīstības ministrija</w:t>
            </w:r>
            <w:r w:rsidR="008F7BF3">
              <w:rPr>
                <w:b/>
                <w:bCs/>
                <w:szCs w:val="24"/>
                <w:lang w:eastAsia="lv-LV"/>
              </w:rPr>
              <w:t>i</w:t>
            </w:r>
          </w:p>
        </w:tc>
      </w:tr>
      <w:bookmarkEnd w:id="6"/>
    </w:tbl>
    <w:p w14:paraId="3EA67A0F"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8F7BF3" w14:paraId="43FCC0FE" w14:textId="77777777" w:rsidTr="008F7BF3">
        <w:tc>
          <w:tcPr>
            <w:tcW w:w="4503" w:type="dxa"/>
            <w:tcBorders>
              <w:top w:val="nil"/>
              <w:left w:val="nil"/>
              <w:bottom w:val="nil"/>
              <w:right w:val="nil"/>
            </w:tcBorders>
            <w:hideMark/>
          </w:tcPr>
          <w:p w14:paraId="6D7887C0" w14:textId="77777777" w:rsidR="008F7BF3" w:rsidRDefault="008F7BF3">
            <w:pPr>
              <w:jc w:val="left"/>
              <w:rPr>
                <w:i/>
                <w:iCs/>
                <w:szCs w:val="24"/>
                <w:lang w:eastAsia="lv-LV"/>
              </w:rPr>
            </w:pPr>
            <w:r>
              <w:rPr>
                <w:i/>
                <w:iCs/>
                <w:szCs w:val="24"/>
                <w:lang w:eastAsia="lv-LV"/>
              </w:rPr>
              <w:t>Par konceptuālo ziņojumu "Par administratīvo reģionu izveidi" , VSS-911</w:t>
            </w:r>
          </w:p>
        </w:tc>
      </w:tr>
    </w:tbl>
    <w:p w14:paraId="5284AE02" w14:textId="77777777" w:rsidR="008F7BF3" w:rsidRDefault="008F7BF3" w:rsidP="008F7BF3">
      <w:pPr>
        <w:rPr>
          <w:szCs w:val="24"/>
        </w:rPr>
      </w:pPr>
    </w:p>
    <w:p w14:paraId="4714657B" w14:textId="77777777" w:rsidR="008F7BF3" w:rsidRDefault="008F7BF3" w:rsidP="008F7BF3">
      <w:pPr>
        <w:ind w:firstLine="709"/>
        <w:rPr>
          <w:szCs w:val="24"/>
        </w:rPr>
      </w:pPr>
      <w:r>
        <w:rPr>
          <w:szCs w:val="24"/>
        </w:rPr>
        <w:t xml:space="preserve">Finanšu ministrija atbilstoši kompetencei ir izskatījusi Vides aizsardzības un reģionālās attīstības ministrijas sagatavoto Konceptuālo ziņojumu "Par administratīvo reģionu izveidi" (turpmāk – konceptuālais ziņojums), tam pievienoto Ministru kabineta rīkojuma projektu un atbalsta tā tālāku virzību, vienlaikus izsakot šādus iebildumus un priekšlikumus. </w:t>
      </w:r>
    </w:p>
    <w:p w14:paraId="748608F4" w14:textId="77777777" w:rsidR="008F7BF3" w:rsidRDefault="008F7BF3" w:rsidP="008F7BF3">
      <w:pPr>
        <w:ind w:firstLine="709"/>
        <w:rPr>
          <w:szCs w:val="24"/>
        </w:rPr>
      </w:pPr>
    </w:p>
    <w:p w14:paraId="551280B6" w14:textId="77777777" w:rsidR="008F7BF3" w:rsidRDefault="008F7BF3" w:rsidP="008F7BF3">
      <w:pPr>
        <w:ind w:firstLine="709"/>
        <w:rPr>
          <w:szCs w:val="24"/>
        </w:rPr>
      </w:pPr>
      <w:r>
        <w:rPr>
          <w:szCs w:val="24"/>
        </w:rPr>
        <w:t>Iebildumi:</w:t>
      </w:r>
    </w:p>
    <w:p w14:paraId="41E09A90" w14:textId="350A3969" w:rsidR="008F7BF3" w:rsidRDefault="008F7BF3" w:rsidP="008F7BF3">
      <w:pPr>
        <w:tabs>
          <w:tab w:val="left" w:pos="993"/>
        </w:tabs>
        <w:ind w:firstLine="709"/>
        <w:rPr>
          <w:szCs w:val="24"/>
        </w:rPr>
      </w:pPr>
      <w:r>
        <w:rPr>
          <w:szCs w:val="24"/>
        </w:rPr>
        <w:t>1.</w:t>
      </w:r>
      <w:r>
        <w:rPr>
          <w:szCs w:val="24"/>
        </w:rPr>
        <w:tab/>
        <w:t>Ņemot vērā, ka esošie plānošanas reģioni nav tiešās pārvaldes iestādes, bet gan atvasinātas publiskas personas un ar rīkojumu projektu atbalstāmais konceptuāl</w:t>
      </w:r>
      <w:r w:rsidR="00C77F8E">
        <w:rPr>
          <w:szCs w:val="24"/>
        </w:rPr>
        <w:t>aj</w:t>
      </w:r>
      <w:r>
        <w:rPr>
          <w:szCs w:val="24"/>
        </w:rPr>
        <w:t>ā ziņojumā iekļautais pārvaldes modeļa 2.variants paredz jaunu valsts un pašvaldību iestāžu izveidi, tādējādi paredzot palielināt tiešās pārvaldes iestāžu skaitu, uzskatām, ka par konceptuālo ziņojumu un rīkojuma projektu būtisks ir Valsts kancelejas viedoklis, kura nodrošina valsts pārvaldes un cilvēkresursu attīstības politikas izstrādi.</w:t>
      </w:r>
    </w:p>
    <w:p w14:paraId="609654FC" w14:textId="27AAE9EC" w:rsidR="008F7BF3" w:rsidRDefault="008F7BF3" w:rsidP="008F7BF3">
      <w:pPr>
        <w:tabs>
          <w:tab w:val="left" w:pos="993"/>
        </w:tabs>
        <w:ind w:firstLine="709"/>
        <w:rPr>
          <w:szCs w:val="24"/>
        </w:rPr>
      </w:pPr>
      <w:r>
        <w:rPr>
          <w:szCs w:val="24"/>
        </w:rPr>
        <w:t>2.</w:t>
      </w:r>
      <w:r>
        <w:rPr>
          <w:szCs w:val="24"/>
        </w:rPr>
        <w:tab/>
        <w:t>Lūdzam konceptuāl</w:t>
      </w:r>
      <w:r w:rsidR="00C77F8E">
        <w:rPr>
          <w:szCs w:val="24"/>
        </w:rPr>
        <w:t>ā</w:t>
      </w:r>
      <w:r>
        <w:rPr>
          <w:szCs w:val="24"/>
        </w:rPr>
        <w:t xml:space="preserve"> ziņojuma IV nodaļā pārvaldes modeļa 2.variantu papildināt ar informāciju, kā tieši plānots nodrošināt vienotas valsts un pašvaldību iestādes izveidi, kā arī skaidrot situāciju no budžeta plānošanas aspekta, vai minētās iestādes būs padotības iestādes kādam esošam budžeta resoram vai tās tika plānotas kā atsevišķi budžeta resori, kā arī sniegt informāciju, kā plānota esošā valsts budžeta finansējuma pārdale.</w:t>
      </w:r>
    </w:p>
    <w:p w14:paraId="02473D1D" w14:textId="77777777" w:rsidR="008F7BF3" w:rsidRDefault="008F7BF3" w:rsidP="008F7BF3">
      <w:pPr>
        <w:tabs>
          <w:tab w:val="left" w:pos="993"/>
        </w:tabs>
        <w:ind w:firstLine="709"/>
        <w:rPr>
          <w:szCs w:val="24"/>
        </w:rPr>
      </w:pPr>
      <w:r>
        <w:rPr>
          <w:szCs w:val="24"/>
        </w:rPr>
        <w:t>3.</w:t>
      </w:r>
      <w:r>
        <w:rPr>
          <w:szCs w:val="24"/>
        </w:rPr>
        <w:tab/>
        <w:t xml:space="preserve">Lūdzam konceptuālā ziņojuma 3.tabulā precizēt Satiksmes ministrijas budžeta apakšprogrammai 31.08.00 “Transferts plānošanas reģioniem sabiedriskā transporta pakalpojumu nodrošināšanai” norādīto 2020.gada finansējumu, jo saskaņā ar likumu “Par valsts budžetu 2020.gadam” tas ir 222 000 </w:t>
      </w:r>
      <w:r>
        <w:rPr>
          <w:i/>
          <w:iCs/>
          <w:szCs w:val="24"/>
        </w:rPr>
        <w:t>euro</w:t>
      </w:r>
      <w:r>
        <w:rPr>
          <w:szCs w:val="24"/>
        </w:rPr>
        <w:t xml:space="preserve">. Vienlaikus norādām, kas saskaņā ar likumprojektu “Par valsts budžetu 2021.gadam” un likumprojektu “Par vidēja termiņa budžeta ietvaru 2021., 2022 un 2023.gadam” Satiksmes ministrijas budžeta apakšprogrammai 31.08.00 “Transferts plānošanas reģioniem sabiedriskā transporta pakalpojumu nodrošināšanai” 2021.gadā finansējums plānots 226 000 </w:t>
      </w:r>
      <w:r>
        <w:rPr>
          <w:i/>
          <w:iCs/>
          <w:szCs w:val="24"/>
        </w:rPr>
        <w:t>euro</w:t>
      </w:r>
      <w:r>
        <w:rPr>
          <w:szCs w:val="24"/>
        </w:rPr>
        <w:t xml:space="preserve">, 2022.gadā – 240 000 </w:t>
      </w:r>
      <w:r>
        <w:rPr>
          <w:i/>
          <w:iCs/>
          <w:szCs w:val="24"/>
        </w:rPr>
        <w:t>euro</w:t>
      </w:r>
      <w:r>
        <w:rPr>
          <w:szCs w:val="24"/>
        </w:rPr>
        <w:t xml:space="preserve"> un 2023.gadā – 226 000 </w:t>
      </w:r>
      <w:r>
        <w:rPr>
          <w:i/>
          <w:iCs/>
          <w:szCs w:val="24"/>
        </w:rPr>
        <w:t>euro</w:t>
      </w:r>
      <w:r>
        <w:rPr>
          <w:szCs w:val="24"/>
        </w:rPr>
        <w:t>.</w:t>
      </w:r>
    </w:p>
    <w:p w14:paraId="020034CA" w14:textId="7BDF8E5F" w:rsidR="008F7BF3" w:rsidRDefault="008F7BF3" w:rsidP="008F7BF3">
      <w:pPr>
        <w:tabs>
          <w:tab w:val="left" w:pos="993"/>
        </w:tabs>
        <w:ind w:firstLine="709"/>
        <w:rPr>
          <w:szCs w:val="24"/>
        </w:rPr>
      </w:pPr>
      <w:r>
        <w:rPr>
          <w:szCs w:val="24"/>
        </w:rPr>
        <w:t>4.</w:t>
      </w:r>
      <w:r>
        <w:rPr>
          <w:szCs w:val="24"/>
        </w:rPr>
        <w:tab/>
        <w:t xml:space="preserve">Ievērojot, ka konceptuālā ziņojuma 4.tabulā sniegtā informācija tiek ņemta vērā, aprēķinot nepieciešamās izmaksas rīkojuma projektā noteikto variantu īstenošanai, vēršam uzmanību, ka saskaņā ar Ministru kabineta 2014.gada 2.decembra noteikumu Nr.737 “Attīstības plānošanas dokumentu izstrādes un ietekmes izvērtēšanas noteikumi” 29.punktu konceptuālajā ziņojumā jāsniedz detalizēti aprēķini par papildus nepieciešamā finansējuma ietekmi uz valsts budžetu un pašvaldību budžetiem atbilstoši normatīvajam aktam par tiesību akta sākotnējās </w:t>
      </w:r>
      <w:r>
        <w:rPr>
          <w:szCs w:val="24"/>
        </w:rPr>
        <w:lastRenderedPageBreak/>
        <w:t>ietekmes izvērtēšanas kārtību. Attiecīgi lūdzam pārskatīt un precizēt konceptuālā ziņojuma 4.tabulā norādītās vidējās 1 darbinieka uzturēšanās un atlīdzības izmaksas, ņemot vērā Ministru kabineta 2009.gada 15.decembra instrukcijas Nr.19 “Tiesību akta projekta sākotnējās ietekmes izvērtēšanas kārtība” 51. un 52.punktā noteikto. Vienlaikus lūdzam aprēķinos ņemt vērā, ka no 2021.gada darba devēja VSAOI plānotas 23,59 % apmērā (saskaņā ar budžeta likumprojekta paketē iesniegto likumprojektu “Grozījumi likumā “Par valsts sociālo apdrošināšanu””).</w:t>
      </w:r>
    </w:p>
    <w:p w14:paraId="5CF5E627" w14:textId="3B35BCB9" w:rsidR="008F7BF3" w:rsidRDefault="008F7BF3" w:rsidP="008F7BF3">
      <w:pPr>
        <w:tabs>
          <w:tab w:val="left" w:pos="993"/>
        </w:tabs>
        <w:ind w:firstLine="709"/>
        <w:rPr>
          <w:szCs w:val="24"/>
        </w:rPr>
      </w:pPr>
      <w:r>
        <w:rPr>
          <w:szCs w:val="24"/>
        </w:rPr>
        <w:t>5.</w:t>
      </w:r>
      <w:r>
        <w:rPr>
          <w:szCs w:val="24"/>
        </w:rPr>
        <w:tab/>
        <w:t xml:space="preserve">Lūdzam informāciju par papildus nepieciešamo finansējumu </w:t>
      </w:r>
      <w:r w:rsidR="00C77F8E">
        <w:rPr>
          <w:szCs w:val="24"/>
        </w:rPr>
        <w:t xml:space="preserve">konceptuālajā ziņojumā </w:t>
      </w:r>
      <w:r>
        <w:rPr>
          <w:szCs w:val="24"/>
        </w:rPr>
        <w:t>norādīt atbilstoši 2014.gada 2.decembra Ministru kabineta noteikumu Nr.737 “Attīstības plānošanas dokumentu izstrādes un ietekmes izvērtēšanas noteikumi” 3.pielikumam.</w:t>
      </w:r>
    </w:p>
    <w:p w14:paraId="608B3C8E" w14:textId="77777777" w:rsidR="008F7BF3" w:rsidRDefault="008F7BF3" w:rsidP="008F7BF3">
      <w:pPr>
        <w:tabs>
          <w:tab w:val="left" w:pos="993"/>
        </w:tabs>
        <w:ind w:firstLine="709"/>
        <w:rPr>
          <w:szCs w:val="24"/>
        </w:rPr>
      </w:pPr>
      <w:r>
        <w:rPr>
          <w:szCs w:val="24"/>
        </w:rPr>
        <w:t>6.</w:t>
      </w:r>
      <w:r>
        <w:rPr>
          <w:szCs w:val="24"/>
        </w:rPr>
        <w:tab/>
        <w:t xml:space="preserve">Vēršam uzmanību, ka konceptuālajā ziņojumā iekļautie nepieciešamā finansējuma risināšanas varianti, tajā skaitā ar rīkojuma projektu atbalstīšanai piedāvātais 2.variants, ir jautājumi, kas skatāmi Ministru kabinetā gadskārtējā valsts budžeta likumprojekta un vidēja termiņa budžeta ietvara likumprojekta sagatavošanas un izskatīšanas procesā atbilstoši valsts budžeta finansiālajām iespējām. Attiecīgi lūdzam šādu informāciju iekļaut konceptuālajā ziņojumā un rīkojuma projektā. Ievērojot, ka likumprojekta “Par valsts budžetu 2021.gadam” un likumprojekta “Par vidēja termiņa budžeta ietvaru 2021., 2022 un 2023.gadam” sagatavošanas procesā šādam mērķim papildu finansējums nav piešķirts, norādām, ka iesniegšanai Ministru kabinetā nav atbalstāmi tādi likumprojekti, kuriem nav atrisināts jautājums par finansiālo segumu, attiecīgi lūdzam pārskatīt rīkojuma projekta 3.punktā noteikto likumprojekta sagatavošanas termiņu. </w:t>
      </w:r>
    </w:p>
    <w:p w14:paraId="589EF657" w14:textId="667B2ADB" w:rsidR="008F7BF3" w:rsidRDefault="008F7BF3" w:rsidP="008F7BF3">
      <w:pPr>
        <w:tabs>
          <w:tab w:val="left" w:pos="851"/>
          <w:tab w:val="left" w:pos="993"/>
        </w:tabs>
        <w:ind w:firstLine="709"/>
        <w:rPr>
          <w:szCs w:val="24"/>
        </w:rPr>
      </w:pPr>
      <w:r>
        <w:rPr>
          <w:szCs w:val="24"/>
        </w:rPr>
        <w:t>7. Konceptuālajā ziņojumā tiek piedāvāts īstenot variantu – administratīvais reģions kā valsts un pašvaldību izveidota iestāde, un</w:t>
      </w:r>
      <w:r w:rsidR="00C77F8E">
        <w:rPr>
          <w:szCs w:val="24"/>
        </w:rPr>
        <w:t>,</w:t>
      </w:r>
      <w:r>
        <w:rPr>
          <w:szCs w:val="24"/>
        </w:rPr>
        <w:t xml:space="preserve"> kā finansējuma avotu paredzot valsts budžeta finansējumu 1 926 662 </w:t>
      </w:r>
      <w:r>
        <w:rPr>
          <w:i/>
          <w:iCs/>
          <w:szCs w:val="24"/>
        </w:rPr>
        <w:t>euro</w:t>
      </w:r>
      <w:r>
        <w:rPr>
          <w:szCs w:val="24"/>
        </w:rPr>
        <w:t xml:space="preserve"> gadā un 0,15% IIN no kopējās reģiona pašvaldībām atvēlētās daļas pēdējos trīs gados. Vēršam uzmanību, ka šāds risinājumus radīs negatīvu finansiālu ietekmi uz pašvaldību budžetiem, līdz ar to par IIN daļas novirzīšanu administratīvo reģionu finansēšanai lūdzam vienoties ar Latvijas Pašvaldību savienību. </w:t>
      </w:r>
    </w:p>
    <w:p w14:paraId="655D50E1" w14:textId="77777777" w:rsidR="008F7BF3" w:rsidRDefault="008F7BF3" w:rsidP="008F7BF3">
      <w:pPr>
        <w:tabs>
          <w:tab w:val="left" w:pos="851"/>
          <w:tab w:val="left" w:pos="993"/>
        </w:tabs>
        <w:ind w:firstLine="709"/>
        <w:rPr>
          <w:szCs w:val="24"/>
        </w:rPr>
      </w:pPr>
      <w:r>
        <w:rPr>
          <w:szCs w:val="24"/>
        </w:rPr>
        <w:t>8. Eiropas Savienības līmenī reģionālā atbalsta piešķiršanas pamatprincipus šobrīd nosaka Eiropas Komisijas Reģionālā atbalsta pamatnostādnes 2014. - 2020.gadam (2013/C 209/01) (turpmāk – Pamatnostādnes), kuru darbība pagarināta līdz 2021.gada 31.decembrim. Savukārt, maksimāli pieļaujamo atbalsta intensitāti nosaka Ministru kabineta 2014.gada 16.decembra noteikumi Nr.786 “Noteikumi par reģionālās attīstības atbalstu Latvijas Republikā līdz 2021. gadam”. Latvijas reģionālā atbalsta plāns 2014. - 2020.gadam tika iesniegts saskaņošanai Eiropas Komisijā un tā ir pieņēmusi pozitīvu lēmumu, atzīstot plāna atbilstību Pamatnostādnēm (lieta reģistrēta Eiropas Komisijā ar numuru SA.38385), kā arī Eiropas Komisija pieņēmusi lēmumu par tā pagarinājumu līdz 2021.gadam (SA.58565).</w:t>
      </w:r>
    </w:p>
    <w:p w14:paraId="47F4A972" w14:textId="6B095FF4" w:rsidR="008F7BF3" w:rsidRDefault="008F7BF3" w:rsidP="008F7BF3">
      <w:pPr>
        <w:tabs>
          <w:tab w:val="left" w:pos="851"/>
          <w:tab w:val="left" w:pos="993"/>
        </w:tabs>
        <w:ind w:firstLine="709"/>
        <w:rPr>
          <w:szCs w:val="24"/>
        </w:rPr>
      </w:pPr>
      <w:r>
        <w:rPr>
          <w:szCs w:val="24"/>
        </w:rPr>
        <w:t xml:space="preserve">Līdz ar to lūdzam ņemt vērā, ka laikā, kad tiek veikta nākamā perioda Eiropas Komisijas Reģionālā atbalsta pamatnostādņu izstrāde, EK DG COMP jāsniedz informācija, ka plānotas izmaiņas Latvijas teritorijas NUTS klasifikācijā. Attiecīgi Vides aizsardzības un reģionālās attīstības ministrija varēs uzsākt jauno reģionālo atbalsta karšu sagatavošanu, kad būs stājušies spēkā NUTS klasifikācijas grozījumi un Eiropas Komisija būs uzsākusi darbu pie jauno reģionālo Pamatnostādņu izstrādes,  kuras tiks piemērotas sākot ar 2022.gadu. </w:t>
      </w:r>
    </w:p>
    <w:p w14:paraId="10154EDD" w14:textId="77777777" w:rsidR="008F7BF3" w:rsidRDefault="008F7BF3" w:rsidP="008F7BF3">
      <w:pPr>
        <w:tabs>
          <w:tab w:val="left" w:pos="851"/>
          <w:tab w:val="left" w:pos="993"/>
        </w:tabs>
        <w:ind w:firstLine="709"/>
        <w:rPr>
          <w:szCs w:val="24"/>
        </w:rPr>
      </w:pPr>
      <w:r>
        <w:rPr>
          <w:szCs w:val="24"/>
        </w:rPr>
        <w:t xml:space="preserve">Savukārt izmaiņas atbalsta nosacījumos būs iespējams virzīt tikai pēc NUTS klasifikācijas aktualizēšanas, turklāt, jaunā reģionālā atbalsta karte un jaunās atbalsta intensitātes varēs stāties spēkā tikai pēc to saskaņošanas Eiropas Komisijā, kam būs arī jāatbilst uz to brīdi spēkā esošajām Reģionālā atbalsta pamatnostādnēm. </w:t>
      </w:r>
    </w:p>
    <w:p w14:paraId="1C7F1C99" w14:textId="77777777" w:rsidR="008F7BF3" w:rsidRDefault="008F7BF3" w:rsidP="008F7BF3">
      <w:pPr>
        <w:tabs>
          <w:tab w:val="left" w:pos="851"/>
          <w:tab w:val="left" w:pos="993"/>
        </w:tabs>
        <w:ind w:firstLine="709"/>
        <w:rPr>
          <w:szCs w:val="24"/>
        </w:rPr>
      </w:pPr>
      <w:r>
        <w:rPr>
          <w:szCs w:val="24"/>
        </w:rPr>
        <w:t xml:space="preserve">Ņemot vērā augstāk minēto, lūdzam attiecīgi papildināt </w:t>
      </w:r>
      <w:bookmarkStart w:id="7" w:name="_Hlk55466615"/>
      <w:r>
        <w:rPr>
          <w:szCs w:val="24"/>
        </w:rPr>
        <w:t>konceptuālo</w:t>
      </w:r>
      <w:bookmarkEnd w:id="7"/>
      <w:r>
        <w:rPr>
          <w:szCs w:val="24"/>
        </w:rPr>
        <w:t xml:space="preserve"> ziņojumu ar informāciju, t.sk. provizorisko laika grafiku NUTS dalījuma izmaiņām, paredzot laiku komunikācijai ar EK DG COMP atbilstoši Eiropas Komisijas noteiktajām procedūrām. </w:t>
      </w:r>
    </w:p>
    <w:p w14:paraId="5378E8C8" w14:textId="77777777" w:rsidR="008F7BF3" w:rsidRDefault="008F7BF3" w:rsidP="008F7BF3">
      <w:pPr>
        <w:tabs>
          <w:tab w:val="left" w:pos="851"/>
          <w:tab w:val="left" w:pos="993"/>
        </w:tabs>
        <w:ind w:firstLine="709"/>
        <w:rPr>
          <w:szCs w:val="24"/>
        </w:rPr>
      </w:pPr>
      <w:r>
        <w:rPr>
          <w:szCs w:val="24"/>
        </w:rPr>
        <w:t xml:space="preserve">9. Konceptuālā ziņojuma V nodaļā “Administratīvo reģionu finansējums” ir iekļauta 4.tabula, kurā atspoguļotas vidējās viena darbinieka uzturēšanas un atalgojuma izmaksas, t.sk. norādītas telpu nomas maksa gadā visai iestādei 19 006,68 </w:t>
      </w:r>
      <w:r>
        <w:rPr>
          <w:i/>
          <w:iCs/>
          <w:szCs w:val="24"/>
        </w:rPr>
        <w:t>euro</w:t>
      </w:r>
      <w:r>
        <w:rPr>
          <w:szCs w:val="24"/>
        </w:rPr>
        <w:t xml:space="preserve"> (mēnesī 1 583,89 </w:t>
      </w:r>
      <w:r>
        <w:rPr>
          <w:i/>
          <w:iCs/>
          <w:szCs w:val="24"/>
        </w:rPr>
        <w:t>euro</w:t>
      </w:r>
      <w:r>
        <w:rPr>
          <w:szCs w:val="24"/>
        </w:rPr>
        <w:t xml:space="preserve">). Lūdzam sniegt pamatojumu minētās nomas maksas paredzēšanai, t.sk. sniedzot informāciju, kādas telpas ir plānotas. </w:t>
      </w:r>
    </w:p>
    <w:p w14:paraId="60871A45" w14:textId="17C95BA8" w:rsidR="008F7BF3" w:rsidRDefault="008F7BF3" w:rsidP="008F7BF3">
      <w:pPr>
        <w:tabs>
          <w:tab w:val="left" w:pos="851"/>
          <w:tab w:val="left" w:pos="993"/>
        </w:tabs>
        <w:ind w:firstLine="709"/>
        <w:rPr>
          <w:szCs w:val="24"/>
        </w:rPr>
      </w:pPr>
      <w:r>
        <w:rPr>
          <w:szCs w:val="24"/>
        </w:rPr>
        <w:lastRenderedPageBreak/>
        <w:t>10. Lūdzam konceptuāl</w:t>
      </w:r>
      <w:r w:rsidR="00C77F8E">
        <w:rPr>
          <w:szCs w:val="24"/>
        </w:rPr>
        <w:t>aj</w:t>
      </w:r>
      <w:r>
        <w:rPr>
          <w:szCs w:val="24"/>
        </w:rPr>
        <w:t xml:space="preserve">ā ziņojumā nodrošināt padziļinātu analīzi par statistiski teritoriālo vienību klasifikācijas 2.līmeņa (turpmāk – NUTS2) reģionu izmaiņām, tai skaitā izpētot citu valstu pieredzi. Piemēram, Lietuvā, kur veicot izmaiņas NUTS2 reģionu robežās ir identificētas problēmas ar Eiropas Savienības struktūrfondu un Kohēzijas fonda (turpmāk – ES fondi) apguvi, ņemot vērā, ka ārpus galvaspilsētas Viļņas finansējuma absorbcijas spēja ir krietni zemāka un finansējuma pārdalēm starp NUTS2 reģioniem ir nepieciešami darbības programmas grozījumi. Attiecīgi lūdzam nodrošināt konceptuālā ziņojuma analīzi par ES fondiem un citiem pieejamajiem Eiropas Savienības atbalsta instrumentiem, kuru atbalsta nosacījumi ir atkarīgi no NUTS2 reģionu attīstības līmeņa, ņemot vērā statistiskas prognozes piedāvātā un esošā NUTS2 sadalījuma scenārijos, pie esošajiem attiecīgo instrumentu piešķiršanas nosacījumiem. </w:t>
      </w:r>
    </w:p>
    <w:p w14:paraId="3A07AC32" w14:textId="37C5BD47" w:rsidR="008F7BF3" w:rsidRDefault="008F7BF3" w:rsidP="008F7BF3">
      <w:pPr>
        <w:tabs>
          <w:tab w:val="left" w:pos="993"/>
        </w:tabs>
        <w:ind w:firstLine="709"/>
        <w:rPr>
          <w:szCs w:val="24"/>
        </w:rPr>
      </w:pPr>
      <w:r>
        <w:rPr>
          <w:szCs w:val="24"/>
        </w:rPr>
        <w:t>11. Vēršam uzmanību, ka</w:t>
      </w:r>
      <w:r w:rsidR="00C77F8E">
        <w:rPr>
          <w:szCs w:val="24"/>
        </w:rPr>
        <w:t>,</w:t>
      </w:r>
      <w:r>
        <w:rPr>
          <w:szCs w:val="24"/>
        </w:rPr>
        <w:t xml:space="preserve"> sadalot Latviju divos reģionos pieaugs ES fondu administrēšanas slogs, kā arī samazināsies fleksibilitāte reaģēt uz nozaru vajadzībām un veikt operatīvas nepieciešamās izmaiņas ES fondu darbības programmā – attiecīgi aicinām papildināt konceptuālā ziņojumu, analizējot šo aspektu. </w:t>
      </w:r>
    </w:p>
    <w:p w14:paraId="5365DFEA" w14:textId="77777777" w:rsidR="008F7BF3" w:rsidRDefault="008F7BF3" w:rsidP="008F7BF3">
      <w:pPr>
        <w:ind w:firstLine="709"/>
        <w:rPr>
          <w:szCs w:val="24"/>
        </w:rPr>
      </w:pPr>
    </w:p>
    <w:p w14:paraId="064C077A" w14:textId="77777777" w:rsidR="008F7BF3" w:rsidRDefault="008F7BF3" w:rsidP="008F7BF3">
      <w:pPr>
        <w:ind w:firstLine="709"/>
        <w:rPr>
          <w:szCs w:val="24"/>
        </w:rPr>
      </w:pPr>
      <w:r>
        <w:rPr>
          <w:szCs w:val="24"/>
        </w:rPr>
        <w:t>Priekšlikumi.</w:t>
      </w:r>
    </w:p>
    <w:p w14:paraId="2DC78347" w14:textId="77777777" w:rsidR="008F7BF3" w:rsidRDefault="008F7BF3" w:rsidP="008F7BF3">
      <w:pPr>
        <w:tabs>
          <w:tab w:val="left" w:pos="993"/>
        </w:tabs>
        <w:ind w:firstLine="709"/>
        <w:rPr>
          <w:szCs w:val="24"/>
        </w:rPr>
      </w:pPr>
      <w:r>
        <w:rPr>
          <w:szCs w:val="24"/>
        </w:rPr>
        <w:t>1.</w:t>
      </w:r>
      <w:r>
        <w:rPr>
          <w:szCs w:val="24"/>
        </w:rPr>
        <w:tab/>
        <w:t>Lūdzam papildināt</w:t>
      </w:r>
      <w:r>
        <w:t xml:space="preserve"> </w:t>
      </w:r>
      <w:r>
        <w:rPr>
          <w:szCs w:val="24"/>
        </w:rPr>
        <w:t>konceptuālā ziņojuma III sadaļas “Administratīvo reģionu funkcijas” (turpmāk – III sadaļa) 3.2.apakšsadaļu “Priekšlikums administratīvo reģionu funkcijām” (turpmāk – 3.2.apakšsadaļa) ar informāciju, par kura gada plānošanas dokumentiem tiek veikti pieņēmumi. Vienlaikus lūdzam precizēt pamatnostādņu nosaukumus no “Industriālās politikas pamatnostādnes” uz “Nacionālās industriālās politikas pamatnostādnes 2021.–2027.gadam”, “Izglītības politikas pamatnostādnes” uz “Izglītības attīstības pamatnostādnes 2021.–2027.gadam” un “Zinātnes un tehnoloģijas pamatnostādnes” uz “Zinātnes, tehnoloģijas attīstības un inovācijas pamatnostādnes 2021.–2027.gadam”, kā arī papildināt ar Sociālās aizsardzības un darba tirgus politikas pamatnostādnēm un Bērnu, jaunatnes un ģimenes attīstības pamatnostādnēm 2021.–2027.gadam, ņemot vērā III sadaļas 3.1.apkašsadaļā “Valsts institūciju iesniegtie priekšlikumi” 1.tabulas “Ministriju priekšlikumi funkciju nodošanai plānošanas reģioniem” 8.punktā minēto.</w:t>
      </w:r>
    </w:p>
    <w:p w14:paraId="5A03F7DC" w14:textId="77777777" w:rsidR="008F7BF3" w:rsidRDefault="008F7BF3" w:rsidP="008F7BF3">
      <w:pPr>
        <w:tabs>
          <w:tab w:val="left" w:pos="993"/>
        </w:tabs>
        <w:ind w:firstLine="709"/>
        <w:rPr>
          <w:szCs w:val="24"/>
        </w:rPr>
      </w:pPr>
      <w:r>
        <w:rPr>
          <w:szCs w:val="24"/>
        </w:rPr>
        <w:t>2.</w:t>
      </w:r>
      <w:r>
        <w:rPr>
          <w:szCs w:val="24"/>
        </w:rPr>
        <w:tab/>
        <w:t>Lūdzam precizēt</w:t>
      </w:r>
      <w:r>
        <w:t xml:space="preserve"> </w:t>
      </w:r>
      <w:r>
        <w:rPr>
          <w:szCs w:val="24"/>
        </w:rPr>
        <w:t xml:space="preserve">konceptuālā ziņojuma III sadaļas 3.2.apkašsadaļā 2.8. specifiskā atbalsta mērķa (turpmāk – SAM) “Veicināt ilgtspējīgu daudzveidu mobilitāti pilsētās” nosaukumu un norādīt aktuālo SAM numuru – Nr. 2.3.1. </w:t>
      </w:r>
    </w:p>
    <w:p w14:paraId="65488E2F" w14:textId="77777777" w:rsidR="008F7BF3" w:rsidRDefault="008F7BF3" w:rsidP="008F7BF3">
      <w:pPr>
        <w:tabs>
          <w:tab w:val="left" w:pos="993"/>
        </w:tabs>
        <w:ind w:firstLine="709"/>
        <w:rPr>
          <w:szCs w:val="24"/>
        </w:rPr>
      </w:pPr>
      <w:r>
        <w:rPr>
          <w:szCs w:val="24"/>
        </w:rPr>
        <w:t>3.</w:t>
      </w:r>
      <w:r>
        <w:rPr>
          <w:szCs w:val="24"/>
        </w:rPr>
        <w:tab/>
        <w:t xml:space="preserve">Lūdzam precizēt konceptuālā ziņojuma III sadaļas 3.2.apakšsadaļā B.1. “Izglītības nozares attīstības koordinēšana, attīstības plānošana reģionālā līmenī, sadarbība ar reģiona pašvaldībām” punktā norādīto 4.11.SAM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 numuru uz 4.2.4.un B.1.1.punktā “Darba vidē balstītas mācības, darba tirgus vajadzības ar reģionā esošo izglītības piedāvājumu” 4.9. SAM “Uzlabot izglītības un mācību sistēmu kvalitāti, efektivitāti un atbilstību darba tirgum, lai atbalstītu pamatprasmju, tostarp digitālo prasmju, apguvi” numuru uz 4.2.2., kā arī svītrot vārdu “vietām”, ņemot vērā, ka tas dublējas.  </w:t>
      </w:r>
    </w:p>
    <w:p w14:paraId="2B83840E" w14:textId="77777777" w:rsidR="008F7BF3" w:rsidRDefault="008F7BF3" w:rsidP="008F7BF3">
      <w:pPr>
        <w:tabs>
          <w:tab w:val="left" w:pos="993"/>
        </w:tabs>
        <w:ind w:firstLine="709"/>
        <w:rPr>
          <w:szCs w:val="24"/>
        </w:rPr>
      </w:pPr>
      <w:r>
        <w:rPr>
          <w:szCs w:val="24"/>
        </w:rPr>
        <w:t>4.</w:t>
      </w:r>
      <w:r>
        <w:rPr>
          <w:szCs w:val="24"/>
        </w:rPr>
        <w:tab/>
        <w:t xml:space="preserve">Lūdzam precizēt konceptuālā ziņojuma III sadaļas 3.2.apkašsadaļas C.1.punktā “Reģionālā mēroga attīstības projektu plānošana un īstenošana” noradītos darbības programmas projekta 2021.-2027.gadam specifisko atbalsta mērķu numurus un nosaukumus, kur attiecināms. </w:t>
      </w:r>
    </w:p>
    <w:p w14:paraId="6F6DE4E6" w14:textId="77777777" w:rsidR="008F7BF3" w:rsidRDefault="008F7BF3" w:rsidP="008F7BF3">
      <w:pPr>
        <w:tabs>
          <w:tab w:val="left" w:pos="993"/>
        </w:tabs>
        <w:ind w:firstLine="709"/>
        <w:rPr>
          <w:szCs w:val="24"/>
        </w:rPr>
      </w:pPr>
      <w:r>
        <w:rPr>
          <w:szCs w:val="24"/>
        </w:rPr>
        <w:t>5.</w:t>
      </w:r>
      <w:r>
        <w:rPr>
          <w:szCs w:val="24"/>
        </w:rPr>
        <w:tab/>
        <w:t>Lūdzam izvērtēt nepieciešamību precizēt konceptuālā ziņojuma IV sadaļā “Risinājumi reģionālās pārvaldes modelim” (turpmāk – IV sadaļa) norādīto informāciju, ka regulā</w:t>
      </w:r>
      <w:r>
        <w:rPr>
          <w:rStyle w:val="FootnoteReference"/>
          <w:szCs w:val="24"/>
        </w:rPr>
        <w:footnoteReference w:id="1"/>
      </w:r>
      <w:r>
        <w:rPr>
          <w:szCs w:val="24"/>
        </w:rPr>
        <w:t xml:space="preserve"> ir noteikts, ka vismaz 6% no Eiropas reģionālā attīstības fonda (turpmāk – ERAF) ir jāizmanto ilgtspējīgai pilsētu attīstībai, ņemot vērā, ka Eiropas Padomes un Eiropas Parlamenta un Eiropas Komisijas </w:t>
      </w:r>
      <w:r>
        <w:rPr>
          <w:szCs w:val="24"/>
        </w:rPr>
        <w:lastRenderedPageBreak/>
        <w:t xml:space="preserve">trialogu diskusijās ir panākta vienošanās, ka pilsētvides attīstībai līdzšinējo 6% vietā ir novirzāmi vismaz 8% ERAF finansējuma. Vienlaikus vēršam uzmanību, ka regulas vēl nav saskaņotas un apstiprinātas. </w:t>
      </w:r>
    </w:p>
    <w:p w14:paraId="65F34742" w14:textId="77777777" w:rsidR="008F7BF3" w:rsidRDefault="008F7BF3" w:rsidP="008F7BF3">
      <w:pPr>
        <w:ind w:firstLine="709"/>
        <w:rPr>
          <w:szCs w:val="24"/>
        </w:rPr>
      </w:pPr>
      <w:r>
        <w:rPr>
          <w:szCs w:val="24"/>
        </w:rPr>
        <w:t xml:space="preserve">6. Lūdzam konceptuālā ziņojuma IV sadaļas 2.varinatā “Valsts un pašvaldību izveidota iestāde”  c.punktā svītrot vārdus “un ne mazāk kā”, ņemot vērā dublēšanos. </w:t>
      </w:r>
    </w:p>
    <w:p w14:paraId="4101AAFC" w14:textId="77777777" w:rsidR="008F7BF3" w:rsidRDefault="008F7BF3" w:rsidP="008F7BF3">
      <w:pPr>
        <w:ind w:firstLine="709"/>
        <w:rPr>
          <w:szCs w:val="24"/>
        </w:rPr>
      </w:pPr>
    </w:p>
    <w:p w14:paraId="7809509F" w14:textId="77777777" w:rsidR="008F7BF3" w:rsidRDefault="008F7BF3" w:rsidP="008F7BF3">
      <w:pPr>
        <w:rPr>
          <w:szCs w:val="24"/>
        </w:rPr>
      </w:pPr>
    </w:p>
    <w:p w14:paraId="1866E41E" w14:textId="77777777" w:rsidR="008F7BF3" w:rsidRDefault="008F7BF3" w:rsidP="008F7BF3">
      <w:pPr>
        <w:rPr>
          <w:szCs w:val="24"/>
        </w:rPr>
      </w:pPr>
    </w:p>
    <w:p w14:paraId="3E4A0C38" w14:textId="77777777" w:rsidR="008F7BF3" w:rsidRDefault="008F7BF3" w:rsidP="008F7BF3">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8F7BF3" w14:paraId="4455C1DB" w14:textId="77777777" w:rsidTr="008F7BF3">
        <w:tc>
          <w:tcPr>
            <w:tcW w:w="4395" w:type="dxa"/>
            <w:hideMark/>
          </w:tcPr>
          <w:p w14:paraId="39C39876" w14:textId="77777777" w:rsidR="008F7BF3" w:rsidRDefault="008F7BF3">
            <w:pPr>
              <w:rPr>
                <w:szCs w:val="24"/>
              </w:rPr>
            </w:pPr>
            <w:r>
              <w:rPr>
                <w:szCs w:val="24"/>
              </w:rPr>
              <w:t>Administrācijas vadītāja</w:t>
            </w:r>
          </w:p>
        </w:tc>
        <w:tc>
          <w:tcPr>
            <w:tcW w:w="1984" w:type="dxa"/>
            <w:hideMark/>
          </w:tcPr>
          <w:p w14:paraId="1FBCB1B9" w14:textId="77777777" w:rsidR="008F7BF3" w:rsidRDefault="008F7BF3">
            <w:pPr>
              <w:jc w:val="center"/>
              <w:rPr>
                <w:szCs w:val="24"/>
              </w:rPr>
            </w:pPr>
            <w:bookmarkStart w:id="8" w:name="edoc_info2"/>
            <w:r>
              <w:rPr>
                <w:szCs w:val="24"/>
              </w:rPr>
              <w:t>(paraksts*)</w:t>
            </w:r>
            <w:bookmarkEnd w:id="8"/>
          </w:p>
        </w:tc>
        <w:tc>
          <w:tcPr>
            <w:tcW w:w="2977" w:type="dxa"/>
            <w:vAlign w:val="bottom"/>
            <w:hideMark/>
          </w:tcPr>
          <w:p w14:paraId="24FACB4B" w14:textId="77777777" w:rsidR="008F7BF3" w:rsidRDefault="008F7BF3">
            <w:pPr>
              <w:jc w:val="right"/>
              <w:rPr>
                <w:szCs w:val="24"/>
              </w:rPr>
            </w:pPr>
            <w:r>
              <w:rPr>
                <w:szCs w:val="24"/>
              </w:rPr>
              <w:t>I.Braunfelde</w:t>
            </w:r>
          </w:p>
        </w:tc>
      </w:tr>
      <w:tr w:rsidR="008F7BF3" w14:paraId="53A7CB07" w14:textId="77777777" w:rsidTr="008F7BF3">
        <w:tc>
          <w:tcPr>
            <w:tcW w:w="4395" w:type="dxa"/>
          </w:tcPr>
          <w:p w14:paraId="28FABE95" w14:textId="77777777" w:rsidR="008F7BF3" w:rsidRDefault="008F7BF3">
            <w:pPr>
              <w:rPr>
                <w:szCs w:val="24"/>
              </w:rPr>
            </w:pPr>
          </w:p>
        </w:tc>
        <w:tc>
          <w:tcPr>
            <w:tcW w:w="1984" w:type="dxa"/>
          </w:tcPr>
          <w:p w14:paraId="366E33AB" w14:textId="77777777" w:rsidR="008F7BF3" w:rsidRDefault="008F7BF3">
            <w:pPr>
              <w:jc w:val="right"/>
              <w:rPr>
                <w:szCs w:val="24"/>
              </w:rPr>
            </w:pPr>
          </w:p>
        </w:tc>
        <w:tc>
          <w:tcPr>
            <w:tcW w:w="2977" w:type="dxa"/>
            <w:vAlign w:val="bottom"/>
          </w:tcPr>
          <w:p w14:paraId="3CC10349" w14:textId="77777777" w:rsidR="008F7BF3" w:rsidRDefault="008F7BF3">
            <w:pPr>
              <w:jc w:val="right"/>
              <w:rPr>
                <w:szCs w:val="24"/>
              </w:rPr>
            </w:pPr>
          </w:p>
        </w:tc>
      </w:tr>
    </w:tbl>
    <w:tbl>
      <w:tblPr>
        <w:tblW w:w="8647" w:type="dxa"/>
        <w:tblLook w:val="04A0" w:firstRow="1" w:lastRow="0" w:firstColumn="1" w:lastColumn="0" w:noHBand="0" w:noVBand="1"/>
      </w:tblPr>
      <w:tblGrid>
        <w:gridCol w:w="8647"/>
      </w:tblGrid>
      <w:tr w:rsidR="008F7BF3" w14:paraId="07B226B2" w14:textId="77777777" w:rsidTr="008F7BF3">
        <w:trPr>
          <w:cantSplit/>
          <w:trHeight w:val="615"/>
        </w:trPr>
        <w:tc>
          <w:tcPr>
            <w:tcW w:w="8647" w:type="dxa"/>
            <w:hideMark/>
          </w:tcPr>
          <w:p w14:paraId="6724BEA1" w14:textId="77777777" w:rsidR="008F7BF3" w:rsidRDefault="008F7BF3">
            <w:pPr>
              <w:pStyle w:val="BodyTextIndent"/>
              <w:tabs>
                <w:tab w:val="left" w:pos="8397"/>
              </w:tabs>
              <w:ind w:left="0"/>
              <w:rPr>
                <w:sz w:val="24"/>
                <w:szCs w:val="24"/>
              </w:rPr>
            </w:pPr>
            <w:bookmarkStart w:id="9" w:name="edoc_info"/>
            <w:r>
              <w:rPr>
                <w:sz w:val="24"/>
                <w:szCs w:val="24"/>
              </w:rPr>
              <w:t>*Dokuments ir parakstīts ar drošu elektronisko parakstu</w:t>
            </w:r>
          </w:p>
        </w:tc>
      </w:tr>
      <w:bookmarkEnd w:id="9"/>
    </w:tbl>
    <w:p w14:paraId="588325F9" w14:textId="77777777" w:rsidR="008F7BF3" w:rsidRDefault="008F7BF3" w:rsidP="008F7BF3">
      <w:pPr>
        <w:rPr>
          <w:sz w:val="20"/>
        </w:rPr>
      </w:pPr>
    </w:p>
    <w:p w14:paraId="3A549AD9" w14:textId="77777777" w:rsidR="008F7BF3" w:rsidRDefault="008F7BF3" w:rsidP="008F7BF3">
      <w:pPr>
        <w:rPr>
          <w:sz w:val="20"/>
        </w:rPr>
      </w:pPr>
    </w:p>
    <w:p w14:paraId="5AC5450E" w14:textId="77777777" w:rsidR="008F7BF3" w:rsidRDefault="008F7BF3" w:rsidP="008F7BF3">
      <w:pPr>
        <w:rPr>
          <w:sz w:val="20"/>
        </w:rPr>
      </w:pPr>
    </w:p>
    <w:p w14:paraId="5CF71C33" w14:textId="77777777" w:rsidR="008F7BF3" w:rsidRDefault="008F7BF3" w:rsidP="008F7BF3">
      <w:pPr>
        <w:rPr>
          <w:sz w:val="20"/>
        </w:rPr>
      </w:pPr>
    </w:p>
    <w:p w14:paraId="0F01C2DF" w14:textId="77777777" w:rsidR="008F7BF3" w:rsidRDefault="008F7BF3" w:rsidP="008F7BF3">
      <w:pPr>
        <w:ind w:firstLine="142"/>
        <w:rPr>
          <w:sz w:val="20"/>
        </w:rPr>
      </w:pPr>
      <w:r>
        <w:rPr>
          <w:sz w:val="20"/>
        </w:rPr>
        <w:t xml:space="preserve">Āboliņa 67083963 </w:t>
      </w:r>
    </w:p>
    <w:p w14:paraId="519D9F88" w14:textId="77777777" w:rsidR="008F7BF3" w:rsidRDefault="008F7BF3" w:rsidP="008F7BF3">
      <w:pPr>
        <w:ind w:firstLine="142"/>
        <w:rPr>
          <w:sz w:val="20"/>
        </w:rPr>
      </w:pPr>
      <w:r>
        <w:rPr>
          <w:sz w:val="20"/>
        </w:rPr>
        <w:t>Ilze.Abolina@fm.gov.lv</w:t>
      </w:r>
    </w:p>
    <w:p w14:paraId="26FDF8ED" w14:textId="77777777" w:rsidR="008F7BF3" w:rsidRDefault="008F7BF3" w:rsidP="008F7BF3">
      <w:pPr>
        <w:ind w:firstLine="142"/>
        <w:rPr>
          <w:sz w:val="20"/>
        </w:rPr>
      </w:pPr>
    </w:p>
    <w:p w14:paraId="784371BD" w14:textId="77777777" w:rsidR="008F7BF3" w:rsidRDefault="008F7BF3" w:rsidP="008F7BF3">
      <w:pPr>
        <w:ind w:firstLine="142"/>
        <w:rPr>
          <w:sz w:val="20"/>
        </w:rPr>
      </w:pPr>
      <w:r>
        <w:rPr>
          <w:sz w:val="20"/>
        </w:rPr>
        <w:t>Kote 67095452</w:t>
      </w:r>
    </w:p>
    <w:p w14:paraId="4E6F511A" w14:textId="77777777" w:rsidR="008F7BF3" w:rsidRDefault="008F7BF3" w:rsidP="008F7BF3">
      <w:pPr>
        <w:ind w:firstLine="142"/>
        <w:rPr>
          <w:sz w:val="20"/>
        </w:rPr>
      </w:pPr>
      <w:r>
        <w:rPr>
          <w:sz w:val="20"/>
        </w:rPr>
        <w:t>Ilze.Kote@fm.gov.lv</w:t>
      </w:r>
    </w:p>
    <w:p w14:paraId="1F872C96" w14:textId="77777777" w:rsidR="008F7BF3" w:rsidRDefault="008F7BF3" w:rsidP="008F7BF3">
      <w:pPr>
        <w:ind w:firstLine="142"/>
        <w:rPr>
          <w:sz w:val="20"/>
        </w:rPr>
      </w:pPr>
    </w:p>
    <w:p w14:paraId="1FC63DAD" w14:textId="77777777" w:rsidR="008F7BF3" w:rsidRDefault="008F7BF3" w:rsidP="008F7BF3">
      <w:pPr>
        <w:ind w:firstLine="142"/>
        <w:rPr>
          <w:sz w:val="20"/>
        </w:rPr>
      </w:pPr>
      <w:r>
        <w:rPr>
          <w:sz w:val="20"/>
        </w:rPr>
        <w:t>Zvirgzdiņa 67083945</w:t>
      </w:r>
    </w:p>
    <w:p w14:paraId="1338DEC2" w14:textId="77777777" w:rsidR="008F7BF3" w:rsidRDefault="008F7BF3" w:rsidP="008F7BF3">
      <w:pPr>
        <w:ind w:firstLine="142"/>
        <w:rPr>
          <w:sz w:val="20"/>
        </w:rPr>
      </w:pPr>
      <w:r>
        <w:rPr>
          <w:sz w:val="20"/>
        </w:rPr>
        <w:t>Liva.Zvirgzdina@fm.gov.lv</w:t>
      </w:r>
    </w:p>
    <w:p w14:paraId="07C661D7" w14:textId="77777777" w:rsidR="008F7BF3" w:rsidRDefault="008F7BF3" w:rsidP="008F7BF3">
      <w:pPr>
        <w:ind w:firstLine="142"/>
        <w:rPr>
          <w:sz w:val="20"/>
        </w:rPr>
      </w:pPr>
    </w:p>
    <w:p w14:paraId="60A432C5" w14:textId="77777777" w:rsidR="008F7BF3" w:rsidRDefault="008F7BF3" w:rsidP="008F7BF3">
      <w:pPr>
        <w:ind w:firstLine="142"/>
        <w:rPr>
          <w:sz w:val="20"/>
        </w:rPr>
      </w:pPr>
      <w:r>
        <w:rPr>
          <w:sz w:val="20"/>
        </w:rPr>
        <w:t>Liepa 67095456</w:t>
      </w:r>
    </w:p>
    <w:p w14:paraId="163C9C37" w14:textId="77777777" w:rsidR="008F7BF3" w:rsidRDefault="008F7BF3" w:rsidP="008F7BF3">
      <w:pPr>
        <w:ind w:firstLine="142"/>
        <w:rPr>
          <w:sz w:val="20"/>
        </w:rPr>
      </w:pPr>
      <w:r>
        <w:rPr>
          <w:sz w:val="20"/>
        </w:rPr>
        <w:t>Sarma.Liepa@fm.gov.lv</w:t>
      </w:r>
    </w:p>
    <w:p w14:paraId="2E41ABFE" w14:textId="77777777" w:rsidR="008F7BF3" w:rsidRDefault="008F7BF3" w:rsidP="008F7BF3">
      <w:pPr>
        <w:ind w:firstLine="142"/>
        <w:rPr>
          <w:sz w:val="20"/>
        </w:rPr>
      </w:pPr>
    </w:p>
    <w:p w14:paraId="28700A17" w14:textId="77777777" w:rsidR="008F7BF3" w:rsidRDefault="008F7BF3" w:rsidP="008F7BF3">
      <w:pPr>
        <w:ind w:firstLine="142"/>
        <w:rPr>
          <w:sz w:val="20"/>
        </w:rPr>
      </w:pPr>
      <w:r>
        <w:rPr>
          <w:sz w:val="20"/>
        </w:rPr>
        <w:t>Ālmane 67095597</w:t>
      </w:r>
    </w:p>
    <w:p w14:paraId="6D3FCD86" w14:textId="77777777" w:rsidR="008F7BF3" w:rsidRDefault="008F7BF3" w:rsidP="008F7BF3">
      <w:pPr>
        <w:ind w:firstLine="142"/>
        <w:rPr>
          <w:sz w:val="20"/>
        </w:rPr>
      </w:pPr>
      <w:r>
        <w:rPr>
          <w:sz w:val="20"/>
        </w:rPr>
        <w:t>Sabine.Almane@fm.gov.lv</w:t>
      </w:r>
    </w:p>
    <w:p w14:paraId="43BC7E39" w14:textId="77777777" w:rsidR="008F7BF3" w:rsidRDefault="008F7BF3" w:rsidP="008F7BF3">
      <w:pPr>
        <w:ind w:firstLine="142"/>
        <w:rPr>
          <w:sz w:val="20"/>
        </w:rPr>
      </w:pPr>
    </w:p>
    <w:p w14:paraId="314323F4" w14:textId="77777777" w:rsidR="008F7BF3" w:rsidRDefault="008F7BF3" w:rsidP="008F7BF3">
      <w:pPr>
        <w:ind w:firstLine="142"/>
        <w:rPr>
          <w:sz w:val="20"/>
        </w:rPr>
      </w:pPr>
      <w:r>
        <w:rPr>
          <w:sz w:val="20"/>
        </w:rPr>
        <w:t>Locāne 67083876</w:t>
      </w:r>
    </w:p>
    <w:p w14:paraId="77C719E9" w14:textId="77777777" w:rsidR="008F7BF3" w:rsidRDefault="008F7BF3" w:rsidP="008F7BF3">
      <w:pPr>
        <w:ind w:firstLine="142"/>
        <w:rPr>
          <w:sz w:val="20"/>
        </w:rPr>
      </w:pPr>
      <w:r>
        <w:rPr>
          <w:sz w:val="20"/>
        </w:rPr>
        <w:t>Lasma.Locane@fm.gov.lv</w:t>
      </w:r>
    </w:p>
    <w:p w14:paraId="2C39EA6B" w14:textId="77777777" w:rsidR="008F7BF3" w:rsidRDefault="008F7BF3" w:rsidP="008F7BF3">
      <w:pPr>
        <w:ind w:firstLine="142"/>
        <w:rPr>
          <w:sz w:val="20"/>
        </w:rPr>
      </w:pPr>
      <w:r>
        <w:rPr>
          <w:sz w:val="20"/>
        </w:rPr>
        <w:t xml:space="preserve">  </w:t>
      </w:r>
    </w:p>
    <w:p w14:paraId="44E2DE91" w14:textId="77777777" w:rsidR="008F7BF3" w:rsidRDefault="008F7BF3" w:rsidP="008F7BF3">
      <w:pPr>
        <w:rPr>
          <w:sz w:val="20"/>
        </w:rPr>
      </w:pPr>
    </w:p>
    <w:p w14:paraId="52C37CAB" w14:textId="77777777" w:rsidR="000C0DD4" w:rsidRPr="006D6710" w:rsidRDefault="000C0DD4" w:rsidP="007F3771">
      <w:pPr>
        <w:rPr>
          <w:sz w:val="20"/>
        </w:rPr>
      </w:pPr>
    </w:p>
    <w:sectPr w:rsidR="000C0DD4"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B02D2" w14:textId="77777777" w:rsidR="00A40026" w:rsidRDefault="00A40026">
      <w:r>
        <w:separator/>
      </w:r>
    </w:p>
  </w:endnote>
  <w:endnote w:type="continuationSeparator" w:id="0">
    <w:p w14:paraId="3D31AFB2" w14:textId="77777777" w:rsidR="00A40026" w:rsidRDefault="00A4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5ED1B5DB" w14:textId="0346E03C"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2D60E8">
          <w:rPr>
            <w:noProof/>
            <w:sz w:val="24"/>
            <w:szCs w:val="24"/>
          </w:rPr>
          <w:t>4</w:t>
        </w:r>
        <w:r w:rsidRPr="00557B49">
          <w:rPr>
            <w:sz w:val="24"/>
            <w:szCs w:val="24"/>
          </w:rPr>
          <w:fldChar w:fldCharType="end"/>
        </w:r>
      </w:p>
    </w:sdtContent>
  </w:sdt>
  <w:p w14:paraId="2E3A7265"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8EADE" w14:textId="77777777" w:rsidR="0015384D" w:rsidRDefault="0015384D">
    <w:pPr>
      <w:pStyle w:val="Footer"/>
      <w:jc w:val="center"/>
    </w:pPr>
  </w:p>
  <w:p w14:paraId="1FB72D8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146A2" w14:textId="77777777" w:rsidR="00A40026" w:rsidRDefault="00A40026">
      <w:r>
        <w:separator/>
      </w:r>
    </w:p>
  </w:footnote>
  <w:footnote w:type="continuationSeparator" w:id="0">
    <w:p w14:paraId="143AF8B4" w14:textId="77777777" w:rsidR="00A40026" w:rsidRDefault="00A40026">
      <w:r>
        <w:continuationSeparator/>
      </w:r>
    </w:p>
  </w:footnote>
  <w:footnote w:id="1">
    <w:p w14:paraId="4E813665" w14:textId="77777777" w:rsidR="008F7BF3" w:rsidRDefault="008F7BF3" w:rsidP="008F7BF3">
      <w:pPr>
        <w:pStyle w:val="FootnoteText"/>
      </w:pPr>
      <w:r>
        <w:rPr>
          <w:rStyle w:val="FootnoteReference"/>
        </w:rPr>
        <w:footnoteRef/>
      </w:r>
      <w:r>
        <w:t xml:space="preserve"> [1] Eiropas Parlamenta un Padomes regulas,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 </w:t>
      </w:r>
    </w:p>
    <w:p w14:paraId="4E1092BD" w14:textId="77777777" w:rsidR="008F7BF3" w:rsidRDefault="00A40026" w:rsidP="008F7BF3">
      <w:pPr>
        <w:pStyle w:val="FootnoteText"/>
      </w:pPr>
      <w:hyperlink r:id="rId1" w:history="1">
        <w:r w:rsidR="008F7BF3">
          <w:rPr>
            <w:rStyle w:val="Hyperlink"/>
          </w:rPr>
          <w:t>https://eur-lex.europa.eu/legal-content/LV/TXT/HTML/?uri=CELEX:52018PC0375&amp;from=EN</w:t>
        </w:r>
      </w:hyperlink>
      <w:r w:rsidR="008F7BF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C3A0D"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128BBDA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705EF"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60E37" w14:textId="77777777" w:rsidR="002C22B9" w:rsidRDefault="002C22B9">
    <w:pPr>
      <w:pStyle w:val="Header"/>
    </w:pPr>
  </w:p>
  <w:p w14:paraId="09EC19D1" w14:textId="77777777" w:rsidR="002C22B9" w:rsidRDefault="002C22B9">
    <w:pPr>
      <w:pStyle w:val="Header"/>
    </w:pPr>
  </w:p>
  <w:p w14:paraId="41A7257E" w14:textId="77777777" w:rsidR="002C22B9" w:rsidRDefault="002C22B9">
    <w:pPr>
      <w:pStyle w:val="Header"/>
    </w:pPr>
  </w:p>
  <w:p w14:paraId="44561FF3" w14:textId="77777777" w:rsidR="002C22B9" w:rsidRDefault="0037045B" w:rsidP="002C22B9">
    <w:pPr>
      <w:pStyle w:val="Header"/>
      <w:tabs>
        <w:tab w:val="clear" w:pos="4153"/>
        <w:tab w:val="clear" w:pos="8306"/>
      </w:tabs>
    </w:pPr>
    <w:r>
      <w:rPr>
        <w:noProof/>
        <w:lang w:val="en-US"/>
      </w:rPr>
      <mc:AlternateContent>
        <mc:Choice Requires="wps">
          <w:drawing>
            <wp:anchor distT="0" distB="0" distL="114300" distR="114300" simplePos="0" relativeHeight="251660288" behindDoc="1" locked="0" layoutInCell="1" allowOverlap="1" wp14:anchorId="67080952" wp14:editId="3A5A81F4">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7646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80952"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D57646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val="en-US"/>
      </w:rPr>
      <w:drawing>
        <wp:anchor distT="0" distB="0" distL="114300" distR="114300" simplePos="0" relativeHeight="251661312" behindDoc="1" locked="0" layoutInCell="1" allowOverlap="1" wp14:anchorId="3D384E73" wp14:editId="34265F5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148A90" w14:textId="77777777" w:rsidR="002C22B9" w:rsidRDefault="002C22B9">
    <w:pPr>
      <w:pStyle w:val="Header"/>
    </w:pPr>
  </w:p>
  <w:p w14:paraId="2A14959F" w14:textId="77777777" w:rsidR="002C22B9" w:rsidRDefault="002C22B9">
    <w:pPr>
      <w:pStyle w:val="Header"/>
    </w:pPr>
  </w:p>
  <w:p w14:paraId="72BCD065" w14:textId="77777777" w:rsidR="002C22B9" w:rsidRDefault="002C22B9">
    <w:pPr>
      <w:pStyle w:val="Header"/>
    </w:pPr>
  </w:p>
  <w:p w14:paraId="5093B883" w14:textId="77777777" w:rsidR="002C22B9" w:rsidRDefault="002C22B9">
    <w:pPr>
      <w:pStyle w:val="Header"/>
    </w:pPr>
  </w:p>
  <w:p w14:paraId="4E1A6350" w14:textId="77777777" w:rsidR="002C22B9" w:rsidRDefault="002C22B9">
    <w:pPr>
      <w:pStyle w:val="Header"/>
    </w:pPr>
  </w:p>
  <w:p w14:paraId="6560D937" w14:textId="77777777" w:rsidR="002C22B9" w:rsidRDefault="002C22B9">
    <w:pPr>
      <w:pStyle w:val="Header"/>
    </w:pPr>
  </w:p>
  <w:p w14:paraId="4F79F510" w14:textId="77777777" w:rsidR="002C22B9" w:rsidRDefault="0037045B">
    <w:pPr>
      <w:pStyle w:val="Header"/>
    </w:pPr>
    <w:r>
      <w:rPr>
        <w:noProof/>
        <w:lang w:val="en-US"/>
      </w:rPr>
      <mc:AlternateContent>
        <mc:Choice Requires="wpg">
          <w:drawing>
            <wp:anchor distT="0" distB="0" distL="114300" distR="114300" simplePos="0" relativeHeight="251659264" behindDoc="1" locked="0" layoutInCell="1" allowOverlap="1" wp14:anchorId="3F23F348" wp14:editId="6138DBD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4BB37BD" w14:textId="77777777" w:rsidR="002C22B9" w:rsidRDefault="002C22B9">
    <w:pPr>
      <w:pStyle w:val="Header"/>
    </w:pPr>
  </w:p>
  <w:p w14:paraId="6D5607BA" w14:textId="77777777" w:rsidR="002C22B9" w:rsidRDefault="002C22B9">
    <w:pPr>
      <w:pStyle w:val="Header"/>
    </w:pPr>
  </w:p>
  <w:p w14:paraId="18736202"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0E8"/>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279D"/>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5EAE"/>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6F054F"/>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D3A9A"/>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8F7BF3"/>
    <w:rsid w:val="00903B9C"/>
    <w:rsid w:val="00911470"/>
    <w:rsid w:val="00920076"/>
    <w:rsid w:val="0092079E"/>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26"/>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20E5"/>
    <w:rsid w:val="00C44804"/>
    <w:rsid w:val="00C45100"/>
    <w:rsid w:val="00C50C30"/>
    <w:rsid w:val="00C53A90"/>
    <w:rsid w:val="00C54CFF"/>
    <w:rsid w:val="00C56C1D"/>
    <w:rsid w:val="00C6145F"/>
    <w:rsid w:val="00C640B7"/>
    <w:rsid w:val="00C77F8E"/>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E7B5C"/>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47BBB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F0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1961305285">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52018PC0375&amp;from=EN"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BC32C-6F90-47BA-BA77-C167B8F9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7680</Words>
  <Characters>4378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konceptuālo ziņojumu "Par administratīvo reģio</dc:subject>
  <dc:creator>Āboliņa I.</dc:creator>
  <dc:description>Sagatavots ALS E-aprites vidē.</dc:description>
  <cp:lastModifiedBy>Veronika Jurča</cp:lastModifiedBy>
  <cp:revision>2</cp:revision>
  <cp:lastPrinted>2007-06-25T10:49:00Z</cp:lastPrinted>
  <dcterms:created xsi:type="dcterms:W3CDTF">2020-11-09T08:44:00Z</dcterms:created>
  <dcterms:modified xsi:type="dcterms:W3CDTF">2020-11-09T08:44:00Z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