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25-TA-2720: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Mākslīgā intelekta centram ar aizsardzības nozari saistītu uzdevumu izpildei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Piešķirt finansējumu nodibinājumam “Mākslīgā intelekta centrs” (vienotās reģistrācijas Nr. 40008346331) ar aizsardzības nozari saistītu uzdevumu izpildei 2026. gadā līdz 230 000 euro no Aizsardzības ministrijas budžeta apakšprogrammas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piešķiršana Mākslīgā intelekta centram plānota 2026. gadā, bet likumprojekts “Par valsts budžetu 2026. gadam un budžeta ietvaru 2026., 2027. un 2028. gadam” vēl nav pieņemts, lūdzam Ministru kabineta rīkojuma projektu virzīt 2026. gadā pēc likumprojekta “Par valsts budžetu 2026. gadam un budžeta ietvaru 2026., 2027. un 2028. gadam” stāšanās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kā Ministru kabineta rīkojuma projekta izstrādes pamatojums norādīts likuma “Par valsts budžetu 2025. gadam un budžeta ietvaru 2025., 2026. un 2027. gadam” 48. pants. Ņemot vērā, ka finansējuma piešķiršana Mākslīgā intelekta centram plānota 2026. gadā, bet likuma “Par valsts budžetu 2025. gadam un budžeta ietvaru 2025., 2026. un 2027. gadam” 48. pants attiecās uz 2025. gada valsts budžetu nevis budžeta ietvaru (likuma II nodaļa ”Valsts budžets 2025. gadam”), lūdzam attiecīgi precizēt anotācijas 1.1.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detalizētāku skaidrojumu, pamatojot kā Ministru kabineta rīkojuma projektā noteiktā finansējuma piešķiršana Mākslīgā intelekta centram veicinās valsts aizsardzības un noturības spēju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w:t>
            </w:r>
            <w:r w:rsidR="00000000" w:rsidRPr="00000000" w:rsidDel="00000000">
              <w:rPr>
                <w:i w:val="1"/>
                <w:rtl w:val="0"/>
              </w:rPr>
              <w:t xml:space="preserve">“Līdzekļus sadarbībai ar centru 2026. gadā plānots nodrošināt no aizsardzības budžeta finansējuma aizsardzības nozares pētniecības, tehnoloģiju un inovāciju (PTI) aktivitātēm, novirzot līdz 230 000 euro</w:t>
            </w:r>
            <w:r w:rsidR="00000000" w:rsidRPr="00000000" w:rsidDel="00000000">
              <w:rPr>
                <w:rtl w:val="0"/>
              </w:rPr>
              <w:t xml:space="preserve">”, tomēr no minētās informācijas nav viennozīmīgi secināms, vai Mākslīgā intelekta centram (turpmāk – MIC) ar rīkojuma projektu piešķirtie publiskie līdzekļi tiks izmantoti vienīgi tādiem pasākumiem, kas saistīti tikai ar drošības un aizsardzības mērķi. Skaidrojam, ka, ja publiskos līdzekļus būtu plānots novirzīt tikai ar valsts drošības un aizsardzības mērķi saistītām darbībām, varētu secināt, ka MIC, veicot plānotos pasākumus, īsteno valsts varu, nodrošinot valsts drošības intereses, līdz ar to publiskā finansējuma piešķiršana tam nebūtu kvalificējama kā atbalsts saimnieciskajai darbībai (skat. Komisijas paziņojuma par Līguma ar Eiropas Savienības darbību 107. panta 1. punktā minēto valsts atbalsta jēdzienu (2016/C 262/01) 17. un 203.punktu), savukārt, ja, piešķirot publisko finansējumu, rezultātā labumu gūs arī darbības divējāda lietojuma preču un tehnoloģiju jomā, tas būtu vērtējams kā atbalsts saimnieciskai darbībai, kam jāpiemēro komercdarbības atbalsta regulējums. Ievērojot minēto, aicinām anotācijas 1.3.sadaļā norādīt, vai ar rīkojuma projektu piešķirtos publiskos līdzekļus MIC izmantos vienīgi tādām darbībām, kas attiecās uz valsts varas īstenošanu, un tiks nodrošinātas vienīgi valsts drošības un aizsardzības intereses un tādējādi publisko līdzekļu piešķiršana MIC nav kvalificējama kā atbalsts saimnieciskai darbībai (komercdarbības atbalsts). Papildus vēršam uzmanību, ka Mākslīgā intelekta centra likuma anotācijas 1.3.sadaļā ir norādīts, ka uz MIC nav attiecināms komercdarbības atbalsta regulējums, jo tas neveiks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25-TA-2720</w:t>
    </w:r>
    <w:r>
      <w:br/>
    </w:r>
    <w:r w:rsidR="00000000" w:rsidRPr="00000000" w:rsidDel="00000000">
      <w:rPr>
        <w:rtl w:val="0"/>
      </w:rPr>
      <w:t xml:space="preserve">Izdrukāts 19.11.2025.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25-TA-2720</w:t>
    </w:r>
    <w:r>
      <w:br/>
    </w:r>
    <w:r w:rsidR="00000000" w:rsidRPr="00000000" w:rsidDel="00000000">
      <w:rPr>
        <w:rtl w:val="0"/>
      </w:rPr>
      <w:t xml:space="preserve">Izdrukāts 19.11.2025.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Atzinumi_25-TA-2720.docx</dc:title>
</cp:coreProperties>
</file>

<file path=docProps/custom.xml><?xml version="1.0" encoding="utf-8"?>
<Properties xmlns="http://schemas.openxmlformats.org/officeDocument/2006/custom-properties" xmlns:vt="http://schemas.openxmlformats.org/officeDocument/2006/docPropsVTypes"/>
</file>