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Rūpnieciskās zvejas tiesību nomas parauglīgums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1.35.apakšpunktu paredzēts izteikt Ministru kabineta 2009.gada 11.augusta noteikumu Nr.918 “Noteikumi par rūpnieciskās zvejas tiesību nomu un zvejas tiesību izmantošanas kārtību” 1.pielikumu jaunā redakcijā, tajā skaitā precizējot līguma darbības izbeigšanas apstākļus, paredzot, ka iznomātājs var vienpusēji izbeigt nomas līgumu, ja nomniekam ir piemērots administratīvais sods saskaņā ar Zvejniecības likuma 30.panta sesto vai astoto daļu, vai komerczvejas gadījumā ir anulēta licence (speciālā atļauja) komercdarbībai zvejniecībā attiecīgajos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nav norādīts, no kāda informācijas avota iznomātājs saņems minēto informāciju par nomnieka iespējamo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vai projekta anotāciju, norādot informācijas par nomnieka iespējamo sodāmību saņemšanas avotu un tās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24.11.2025. 20.42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24.11.2025. 20.42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