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24-TA-1463: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 septembra noteikumos Nr. 529 "Ēku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 septembra noteikumos Nr. 529 "Ēku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1.4. apakšpunktā ir noteikts papildināt Ministru kabineta 2014. gada 2. septembra noteikumus Nr. 529 "Ēku būvnoteikumi" ar 7.</w:t>
            </w:r>
            <w:r w:rsidR="00000000" w:rsidRPr="00000000" w:rsidDel="00000000">
              <w:rPr>
                <w:vertAlign w:val="superscript"/>
                <w:rtl w:val="0"/>
              </w:rPr>
              <w:t xml:space="preserve">5</w:t>
            </w:r>
            <w:r w:rsidR="00000000" w:rsidRPr="00000000" w:rsidDel="00000000">
              <w:rPr>
                <w:rtl w:val="0"/>
              </w:rPr>
              <w:t xml:space="preserve"> punktu, paredzot, ka vienkāršotas atjaunošanas paziņošanas kārtība nav piemērojama telpu grupas sastāva izmaiņām, kur būvdarbu rezultātā tiek veidota jauna dzīvojamo telpu grupa (dzīvoklis). Šādi grozījumi nozīmē, ka turpmāk aprakstītajam gadījumam būs piemērojama paskaidrojuma raksta procedūra. Vēršam uzmanību, ka projekts neregulē tos gadījumus,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dzīvokļa īpašumi var būt telpu grupas ar citu lietošanas veidu, piemēram, daudzdzīvokļu mājā ir veikala vai biroja telpu grupa, kas tiek apvienota vai sadalīta, veicot pārbūvi;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veikta tādu telpu grupu sadale vai apvienošana bez pārbūves, kas ietilpst dzīvokļa īpašuma sastāvā, kā rezultātā tiek izveidota jauna telpu grupa (dzīvokļa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kadastra datus par telpu grupu var aktualizēt, pamatojoties uz Ministru kabineta 2012. gada 10. aprīļa noteikumu Nr. 263 "Kadastra objekta reģistrācijas un kadastra datu aktualizācijas noteikumi" 85.9., 85.10. apakšpunktā un 87. punktā minētajiem dokumentiem. Līdz ar to Valsts zemes dienests nav tiesīgs bez būvniecības jomu regulējošajos normatīvajos aktos noteiktiem būvniecības dokumentiem noteikt telpu grupas sastāvu vai mainīt telpas piederību kādai telpu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veikt datu aktualizāciju Nekustamā īpašuma valsts kadastra informācijas sistēmā par telpu grupas sadali vai apvienošanu bez pārbūves, neizmantojot minētos būvniecības dokumentus, plānojam veikt grozījumus kadastra jomu regulējošajos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projekta 1.4. apakšpunktu, iekļaujot projektā regulējumu priekšlikumā iepriekš norādītajiem gadījumiem, kas šobrīd projektā nav noregulēti.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Balčuna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priekšlikumu projekta 1.4. apakšpunktu, kas paredz papildināt Ministru kabineta 2014. gada 2. septembra noteikumus Nr. 529 "Ēku būvnoteikumi" ar 7.</w:t>
            </w:r>
            <w:r w:rsidR="00000000" w:rsidRPr="00000000" w:rsidDel="00000000">
              <w:rPr>
                <w:vertAlign w:val="superscript"/>
                <w:rtl w:val="0"/>
              </w:rPr>
              <w:t xml:space="preserve">5</w:t>
            </w:r>
            <w:r w:rsidR="00000000" w:rsidRPr="00000000" w:rsidDel="00000000">
              <w:rPr>
                <w:rtl w:val="0"/>
              </w:rPr>
              <w:t xml:space="preserve"> punktu, lūdzam papildināt anotāciju ar skaidrojumu, kā šie grozījumi attieksies uz gadījumiem, kad notiek sadale vai apvienošana: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dzīvokļa īpašumā, kam kā telpu grupai ir cits lietošanas veids, piemēram, daudzdzīvokļu mājā ir veikala vai biroja telpu grupa, kas tiek apvienota vai sadalīta veicot pārbūvi;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bez pārbūves telpu grupā, kas ietilpst dzīvokļa īpašuma sastāvā, kā rezultātā tiek izveidota jauna telpu grupa (dzīvokļa īpašums).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Balčuna (VZD)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24-TA-1463</w:t>
    </w:r>
    <w:r>
      <w:br/>
    </w:r>
    <w:r w:rsidR="00000000" w:rsidRPr="00000000" w:rsidDel="00000000">
      <w:rPr>
        <w:rtl w:val="0"/>
      </w:rPr>
      <w:t xml:space="preserve">Izdrukāts 19.02.2025.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24-TA-1463</w:t>
    </w:r>
    <w:r>
      <w:br/>
    </w:r>
    <w:r w:rsidR="00000000" w:rsidRPr="00000000" w:rsidDel="00000000">
      <w:rPr>
        <w:rtl w:val="0"/>
      </w:rPr>
      <w:t xml:space="preserve">Izdrukāts 19.02.2025.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Atzinumi_24-TA-1463.docx</dc:title>
</cp:coreProperties>
</file>

<file path=docProps/custom.xml><?xml version="1.0" encoding="utf-8"?>
<Properties xmlns="http://schemas.openxmlformats.org/officeDocument/2006/custom-properties" xmlns:vt="http://schemas.openxmlformats.org/officeDocument/2006/docPropsVTypes"/>
</file>