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25-TA-336: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no budžeta resora "74. Gadskārtējā valsts budžeta izpildes procesā pārdalāmais finansējums" programmas 17.00.00 "Finansējums Ukrainas civiliedzīvotāju atbalsta likumā noteikto pasākumu īstenošanai"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25-TA-336</w:t>
    </w:r>
    <w:r>
      <w:br/>
    </w:r>
    <w:r w:rsidR="00000000" w:rsidRPr="00000000" w:rsidDel="00000000">
      <w:rPr>
        <w:rtl w:val="0"/>
      </w:rPr>
      <w:t xml:space="preserve">Izdrukāts 05.03.2025. 22.49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25-TA-336</w:t>
    </w:r>
    <w:r>
      <w:br/>
    </w:r>
    <w:r w:rsidR="00000000" w:rsidRPr="00000000" w:rsidDel="00000000">
      <w:rPr>
        <w:rtl w:val="0"/>
      </w:rPr>
      <w:t xml:space="preserve">Izdrukāts 05.03.2025. 22.49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