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veselības stratēģija līdz 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Digitālās veselības stratēģija līdz 2029.gadam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Tieslietu ministrijas iepriekš izteikto iebildumu, atkārtoti lūdzam pārskatīt projekta sadaļas "Uzdevumu kopsavikums" norādītās līdzatbildīgās institūcijas. Vēršam uzmanību, ka Ministru kabinets nevar uzdot uzdevumu institūcijām, kas nav tā padotībā vai kuras nepilda valsts pārvaldes deleģētos uzdevumus. Savukārt nevalstisko organizāciju iesaiste politikas plānošanā var tikt īstenota arī neparedzot konkrētus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26.06.2023.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26.06.2023.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Atzinumi_23-TA-824.docx</dc:title>
</cp:coreProperties>
</file>

<file path=docProps/custom.xml><?xml version="1.0" encoding="utf-8"?>
<Properties xmlns="http://schemas.openxmlformats.org/officeDocument/2006/custom-properties" xmlns:vt="http://schemas.openxmlformats.org/officeDocument/2006/docPropsVTypes"/>
</file>