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precizējams skaidrojums par apstrīdēšanas vai pārsūdzēšanas ietekmi uz Latvijas Bankas lēmumu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panta pirmajā daļā paredzēts, ka Latvijas Bankai ir tiesības noteikt likuma subjektam pienākumu noteiktā termiņā novērst šā likuma 4. panta trešajā, ceturtajā, piektajā un sestajā daļā un 5. pantā minēto prasību pārkāpumus. Latvijas Bankas lēmuma par šā likuma 4. panta trešajā, ceturtajā, piektajā un sestajā daļā minētās prasības pārkāpuma novēršanu apstrīdēšana vai pārsūdzēšana neaptur tā darbību. Tādējādi minētais izņēmums no Administratīvā procesa likuma vispārīgā regulējuma attiecas tikai uz projekta 4. pantā minētajiem gadījumiem. Tomēr projekta anotācijā šī atšķirība nav precīzi norādīta: "Ja lēmuma apstrīdēšana vai pārsūdzēšana apturētu tā darbību, tad iespēja novērst pārkāpumu un nodrošināt vienlīdzības principa īstenošanu pamatā nepastāvētu, kā rezultātā piemērotais pasākums neatbilstu efektīvas un atturošas sankcijas prasībām." Aicinām precizēt skaidrojumu projekta anotācijā, norādot, uz kādiem lēmumiem tas tieši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11.02.2025.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11.02.2025.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