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savas kompetences ietvaros ir izvērtējusi Vides un reģionālās attīstības ministrijas (turpmāk – VARAM) 05.06.2024. sagatavotos grozījumus Ūdenssaimniecības pakalpojumu likumā (Nr.23-TA-747) (turpmāk –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informē, ka saskaņo VARAM piedāvāto Grozījumu redakciju, ja anotācijā tiek iekļauta precīzāka atsauce/ skaidrojums attiecībā uz Grozījumu 10. panta otrajā daļā norādītajām pakalpojumu lietotāja tiesībām organizēt mehāniskā ūdens filtra uzstādīšanu, nomaiņu un apkopi. Anotācijā ietverama norāde, ka pakalpojumu lietotājam ir tiesības filtra uzstādīšanu, nomaiņu un apkopi organizēt un nodrošināt patstāvīgi vai brīvi izvēloties arī citu personu, kas nav ūdenssaimniecības pakalpojuma sniedzējs. Savukārt ūdenssaimniecības pakalpojumu sniedzējam nav tiesību ierobežot Grozījumu 10. panta otrajā daļā noteiktās pakalpojumu lietotāja tiesības. Anotācijā tāpat norādāms, ka ūdenssaimniecības pakalpojumu sniedzējiem ir jānodrošina pakalpojumu lietotāji ar viegli pieejamu un skaidri saprotamu informāciju par filtru uzstādīšanu, nomaiņu un apkopi, tostarp iespēju izvēlēties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Strikmane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10.06.2024.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10.06.2024.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