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Likuma izpildes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12. panta “Likuma izpildes uzraudzība” prasības, ņemot vērā Eiropas Parlamenta un Padomes 2023. gada 18. oktobra Regulas (ES) 2023/2405 par vienlīdzīgu konkurences apstākļu nodrošināšanu ilgtspējīgam gaisa transportam 12. panta 5., 6., 7., 8., 9. un 10. punktā minēto īstenošanas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Siltumnīcefekta gāzu emisiju intensitātes samazināšanas pienākuma izpildes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13. pantu "Siltumnīcefekta gāzu emisiju intensitātes samazināšanas pienākuma izpildes nodrošināšana" ar nosacījumiem aviācijas degvielas piegādātājiem, kas izriet no Eiropas Parlamenta un Padomes 2023. gada 18. oktobra Regulas (ES) 2023/2405 par vienlīdzīgu konkurences apstākļu nodrošināšanu ilgtspējīgam gaisa transportam 12. panta 8.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5.4. sadaļas 1. tabulu “Tiesību akta projekta atbilstība Eiropas Savienības tiesību aktiem” ar informāciju par Eiropas Parlamenta un Padomes 2023.gada 18.oktobra Regulu (ES) 2023/2405 par vienlīdzīgu konkurences apstākļu nodrošināšanu ilgtspējīgam gaisa transportam.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