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67365" w14:textId="7FCEB9E6" w:rsidR="0039193D" w:rsidRDefault="0039193D"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Tieslietu ministrija ir izskatījusi Finanšu ministrijas 2021. gada </w:t>
      </w:r>
      <w:r w:rsidR="00E2635D" w:rsidRPr="0002189F">
        <w:rPr>
          <w:rFonts w:ascii="Times New Roman" w:hAnsi="Times New Roman" w:cs="Times New Roman"/>
        </w:rPr>
        <w:t>3. jūnijā</w:t>
      </w:r>
      <w:r w:rsidRPr="0002189F">
        <w:rPr>
          <w:rFonts w:ascii="Times New Roman" w:hAnsi="Times New Roman" w:cs="Times New Roman"/>
        </w:rPr>
        <w:t xml:space="preserve"> precizēto likumprojektu "Ieguldījumu brokeru sabiedrību likums" (turpmāk - likumprojekts), tā anotāciju un izziņu par atzinumos sniegtajiem iebildumiem</w:t>
      </w:r>
      <w:r w:rsidR="005D430E" w:rsidRPr="0002189F">
        <w:rPr>
          <w:rFonts w:ascii="Times New Roman" w:hAnsi="Times New Roman" w:cs="Times New Roman"/>
        </w:rPr>
        <w:t xml:space="preserve"> (turpmāk – izziņa)</w:t>
      </w:r>
      <w:r w:rsidRPr="0002189F">
        <w:rPr>
          <w:rFonts w:ascii="Times New Roman" w:hAnsi="Times New Roman" w:cs="Times New Roman"/>
        </w:rPr>
        <w:t> un </w:t>
      </w:r>
      <w:r w:rsidRPr="0002189F">
        <w:rPr>
          <w:rFonts w:ascii="Times New Roman" w:hAnsi="Times New Roman" w:cs="Times New Roman"/>
          <w:b/>
          <w:bCs/>
        </w:rPr>
        <w:t>atbalsta to tālāku virzību, izsakot šādus iebildumus</w:t>
      </w:r>
      <w:r w:rsidRPr="0002189F">
        <w:rPr>
          <w:rFonts w:ascii="Times New Roman" w:hAnsi="Times New Roman" w:cs="Times New Roman"/>
        </w:rPr>
        <w:t>:</w:t>
      </w:r>
    </w:p>
    <w:p w14:paraId="38BEA005" w14:textId="77777777" w:rsidR="00A2090A" w:rsidRPr="0002189F" w:rsidRDefault="00A2090A" w:rsidP="0002189F">
      <w:pPr>
        <w:spacing w:after="0" w:line="23" w:lineRule="atLeast"/>
        <w:ind w:firstLine="567"/>
        <w:jc w:val="both"/>
        <w:rPr>
          <w:rFonts w:ascii="Times New Roman" w:hAnsi="Times New Roman" w:cs="Times New Roman"/>
        </w:rPr>
      </w:pPr>
    </w:p>
    <w:p w14:paraId="7684F790" w14:textId="1E034D54" w:rsidR="00B96F0C" w:rsidRPr="0002189F" w:rsidRDefault="00447C67" w:rsidP="0002189F">
      <w:pPr>
        <w:tabs>
          <w:tab w:val="left" w:pos="5245"/>
        </w:tabs>
        <w:spacing w:after="0" w:line="23" w:lineRule="atLeast"/>
        <w:ind w:firstLine="567"/>
        <w:jc w:val="both"/>
        <w:rPr>
          <w:rFonts w:ascii="Times New Roman" w:hAnsi="Times New Roman" w:cs="Times New Roman"/>
          <w:spacing w:val="-2"/>
        </w:rPr>
      </w:pPr>
      <w:r w:rsidRPr="0002189F">
        <w:rPr>
          <w:rFonts w:ascii="Times New Roman" w:hAnsi="Times New Roman" w:cs="Times New Roman"/>
        </w:rPr>
        <w:t xml:space="preserve">1. </w:t>
      </w:r>
      <w:r w:rsidR="00E2635D" w:rsidRPr="0002189F">
        <w:rPr>
          <w:rFonts w:ascii="Times New Roman" w:hAnsi="Times New Roman" w:cs="Times New Roman"/>
        </w:rPr>
        <w:t>Tieslietu ministrija uztur tās izteikto iebildumu par likumprojekta 8. panta trešo daļu par ierobežojumiem pantā uzskaitītajām personām ieņemt amatus ieguldījumu brokeru sabiedrībā, kuru Tieslietu ministrijas ieskatā nepieciešams precizēt atbilstoši Satversmes tiesas 2020. gada 17. decembra sprieduma lietā Nr. 2020-18-01 norādītajam. Norādām, ka, lai gan Finanšu ministrija likumprojekta anotācijā iekļāvusi normas nepieciešamības pamatojumu, Tieslietu ministrijas ieskatā tas neatbilst Satversmes tiesas spriedumam lietā Nr. 2020-18-01, jo, saglabājot absolūtu aizliegumu, likumprojektā nav piedāvāts izveidot izvērtēšanas iestādi vai komisiju, kas ļautu tomēr kandidēt arī personām, uz kurām attiecināmi likumā paredzētie ierobežojumi.</w:t>
      </w:r>
    </w:p>
    <w:p w14:paraId="26D1CC7A" w14:textId="789DB491" w:rsidR="002C0920" w:rsidRPr="0002189F" w:rsidRDefault="002C0920" w:rsidP="0002189F">
      <w:pPr>
        <w:tabs>
          <w:tab w:val="left" w:pos="2415"/>
        </w:tabs>
        <w:spacing w:after="0" w:line="23" w:lineRule="atLeast"/>
        <w:rPr>
          <w:rFonts w:ascii="Times New Roman" w:hAnsi="Times New Roman" w:cs="Times New Roman"/>
          <w:i/>
          <w:iCs/>
          <w:sz w:val="18"/>
          <w:szCs w:val="18"/>
        </w:rPr>
      </w:pPr>
      <w:r w:rsidRPr="0002189F">
        <w:rPr>
          <w:rFonts w:ascii="Times New Roman" w:hAnsi="Times New Roman" w:cs="Times New Roman"/>
          <w:i/>
          <w:iCs/>
          <w:sz w:val="18"/>
          <w:szCs w:val="18"/>
        </w:rPr>
        <w:t>G. Daukste</w:t>
      </w:r>
      <w:r w:rsidRPr="0002189F">
        <w:rPr>
          <w:rFonts w:ascii="Times New Roman" w:hAnsi="Times New Roman" w:cs="Times New Roman"/>
          <w:sz w:val="18"/>
          <w:szCs w:val="18"/>
        </w:rPr>
        <w:t xml:space="preserve"> </w:t>
      </w:r>
      <w:r w:rsidRPr="0002189F">
        <w:rPr>
          <w:rFonts w:ascii="Times New Roman" w:hAnsi="Times New Roman" w:cs="Times New Roman"/>
          <w:i/>
          <w:iCs/>
          <w:sz w:val="18"/>
          <w:szCs w:val="18"/>
        </w:rPr>
        <w:t>67036795, gita.daukste@tm.gov.lv</w:t>
      </w:r>
    </w:p>
    <w:p w14:paraId="18409A62" w14:textId="77777777" w:rsidR="0002189F" w:rsidRDefault="0002189F" w:rsidP="0002189F">
      <w:pPr>
        <w:spacing w:after="0" w:line="23" w:lineRule="atLeast"/>
        <w:ind w:firstLine="567"/>
        <w:jc w:val="both"/>
        <w:rPr>
          <w:rFonts w:ascii="Times New Roman" w:hAnsi="Times New Roman" w:cs="Times New Roman"/>
        </w:rPr>
      </w:pPr>
    </w:p>
    <w:p w14:paraId="2D0FE1A5" w14:textId="0A364C80" w:rsidR="005D430E" w:rsidRPr="00F70DF1" w:rsidRDefault="00AF1EAD" w:rsidP="00F70DF1">
      <w:pPr>
        <w:spacing w:after="0" w:line="23" w:lineRule="atLeast"/>
        <w:ind w:firstLine="567"/>
        <w:jc w:val="both"/>
        <w:rPr>
          <w:rFonts w:ascii="Times New Roman" w:hAnsi="Times New Roman" w:cs="Times New Roman"/>
        </w:rPr>
      </w:pPr>
      <w:r w:rsidRPr="00F70DF1">
        <w:rPr>
          <w:rFonts w:ascii="Times New Roman" w:hAnsi="Times New Roman" w:cs="Times New Roman"/>
        </w:rPr>
        <w:t xml:space="preserve">2. </w:t>
      </w:r>
      <w:r w:rsidR="005D430E" w:rsidRPr="00F70DF1">
        <w:rPr>
          <w:rFonts w:ascii="Times New Roman" w:hAnsi="Times New Roman" w:cs="Times New Roman"/>
        </w:rPr>
        <w:t xml:space="preserve">Tieslietu ministrija uztur izziņas I sadaļas 7. punktā ietverto iebildumu. Atkārtoti vēršam uzmanību, ka </w:t>
      </w:r>
      <w:r w:rsidR="00A023B5" w:rsidRPr="00F70DF1">
        <w:rPr>
          <w:rFonts w:ascii="Times New Roman" w:hAnsi="Times New Roman" w:cs="Times New Roman"/>
        </w:rPr>
        <w:t>likum</w:t>
      </w:r>
      <w:r w:rsidR="005D430E" w:rsidRPr="00F70DF1">
        <w:rPr>
          <w:rFonts w:ascii="Times New Roman" w:hAnsi="Times New Roman" w:cs="Times New Roman"/>
        </w:rPr>
        <w:t xml:space="preserve">projekta 10. panta ceturtā daļa, kas paredz Komisijas tiesības pieprasīt, lai ieguldījumu brokeru sabiedrība precizē iesniegtos dokumentus un informāciju, dublē Administratīvā procesa likuma 59. pantā nostiprinātās iestādes tiesības iegūt informāciju no administratīvā procesa dalībniekiem. Ievērojot minēto, atbilstoši Ministru kabineta 2009. gada 3. februāra noteikumu Nr. 108 "Normatīvo aktu projektu sagatavošanas noteikumi" (turpmāk – noteikumi Nr. 108) 3.2. apakšpunktam lūdzam izslēgt </w:t>
      </w:r>
      <w:r w:rsidR="00A023B5" w:rsidRPr="00F70DF1">
        <w:rPr>
          <w:rFonts w:ascii="Times New Roman" w:hAnsi="Times New Roman" w:cs="Times New Roman"/>
        </w:rPr>
        <w:t>likum</w:t>
      </w:r>
      <w:r w:rsidR="005D430E" w:rsidRPr="00F70DF1">
        <w:rPr>
          <w:rFonts w:ascii="Times New Roman" w:hAnsi="Times New Roman" w:cs="Times New Roman"/>
        </w:rPr>
        <w:t>projekta 12. panta ceturto daļu.</w:t>
      </w:r>
    </w:p>
    <w:p w14:paraId="55503881" w14:textId="77777777" w:rsidR="005D430E" w:rsidRPr="0002189F" w:rsidRDefault="005D430E"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w:t>
      </w:r>
      <w:proofErr w:type="gramStart"/>
      <w:r w:rsidRPr="0002189F">
        <w:rPr>
          <w:rFonts w:ascii="Times New Roman" w:hAnsi="Times New Roman" w:cs="Times New Roman"/>
          <w:i/>
          <w:iCs/>
        </w:rPr>
        <w:t>(</w:t>
      </w:r>
      <w:proofErr w:type="gramEnd"/>
      <w:r w:rsidRPr="0002189F">
        <w:rPr>
          <w:rFonts w:ascii="Times New Roman" w:hAnsi="Times New Roman" w:cs="Times New Roman"/>
          <w:i/>
          <w:iCs/>
        </w:rPr>
        <w:t>sk. Valsts kanceleja: Normatīvo aktu projektu izstrādes rokasgrāmata, Rīga, 2016, 17.-18. lpp.).</w:t>
      </w:r>
    </w:p>
    <w:p w14:paraId="0194843C" w14:textId="77777777" w:rsidR="005D430E" w:rsidRPr="0002189F" w:rsidRDefault="005D430E"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Vienlaikus jānorāda, ka ikvienam, kas vēlas saņemt licenci, lai darbotos Latvijas tirgū, būtu jāpārzina kā minimums galvenie procesuālie likumi, kas regulēs to darbību, tostarp Administratīvā procesa likums, tāpēc nevarētu piekrist, ka šāda tiesību normu dublēšana veicinās savlaicīgu informētību.</w:t>
      </w:r>
    </w:p>
    <w:p w14:paraId="39A19D55" w14:textId="09F9AB5E" w:rsidR="005D430E" w:rsidRPr="0002189F" w:rsidRDefault="005D430E" w:rsidP="0002189F">
      <w:pPr>
        <w:spacing w:after="0" w:line="23" w:lineRule="atLeast"/>
        <w:ind w:firstLine="567"/>
        <w:jc w:val="both"/>
        <w:rPr>
          <w:rFonts w:ascii="Times New Roman" w:hAnsi="Times New Roman" w:cs="Times New Roman"/>
          <w:i/>
          <w:iCs/>
        </w:rPr>
      </w:pPr>
      <w:r w:rsidRPr="0002189F">
        <w:rPr>
          <w:rFonts w:ascii="Times New Roman" w:hAnsi="Times New Roman" w:cs="Times New Roman"/>
        </w:rPr>
        <w:t>Turklāt jānorāda, ka atbilstoši noteikumu Nr. 108 4. punktam daļēja tiesību normu pārrakstīšana ir pieļaujama, ja citādi nebūtu</w:t>
      </w:r>
      <w:proofErr w:type="gramStart"/>
      <w:r w:rsidRPr="0002189F">
        <w:rPr>
          <w:rFonts w:ascii="Times New Roman" w:hAnsi="Times New Roman" w:cs="Times New Roman"/>
        </w:rPr>
        <w:t xml:space="preserve"> iespējams</w:t>
      </w:r>
      <w:proofErr w:type="gramEnd"/>
      <w:r w:rsidRPr="0002189F">
        <w:rPr>
          <w:rFonts w:ascii="Times New Roman" w:hAnsi="Times New Roman" w:cs="Times New Roman"/>
        </w:rPr>
        <w:t xml:space="preserve"> saprotami un skaidri formulēt tiesību normu, tomēr uz </w:t>
      </w:r>
      <w:r w:rsidR="00A023B5" w:rsidRPr="0002189F">
        <w:rPr>
          <w:rFonts w:ascii="Times New Roman" w:hAnsi="Times New Roman" w:cs="Times New Roman"/>
        </w:rPr>
        <w:t>likum</w:t>
      </w:r>
      <w:r w:rsidRPr="0002189F">
        <w:rPr>
          <w:rFonts w:ascii="Times New Roman" w:hAnsi="Times New Roman" w:cs="Times New Roman"/>
        </w:rPr>
        <w:t xml:space="preserve">projektā ietverto regulējumu to nevar attiecināt, jo regulējums Administratīvā procesa likumā ir pietiekoši skaidrs un saprotams </w:t>
      </w:r>
      <w:r w:rsidRPr="0002189F">
        <w:rPr>
          <w:rFonts w:ascii="Times New Roman" w:hAnsi="Times New Roman" w:cs="Times New Roman"/>
          <w:i/>
          <w:iCs/>
        </w:rPr>
        <w:t>(sal. Valsts kanceleja: Normatīvo aktu projektu izstrādes rokasgrāmata, Rīga, 2016, 18. lpp.).</w:t>
      </w:r>
    </w:p>
    <w:p w14:paraId="081D8DD1" w14:textId="3C849D11" w:rsidR="005D430E" w:rsidRPr="0002189F" w:rsidRDefault="005D430E" w:rsidP="0002189F">
      <w:pPr>
        <w:pStyle w:val="xmsonospacing"/>
        <w:shd w:val="clear" w:color="auto" w:fill="FFFFFF"/>
        <w:spacing w:before="0" w:beforeAutospacing="0" w:after="0" w:afterAutospacing="0" w:line="23" w:lineRule="atLeast"/>
        <w:ind w:firstLine="567"/>
        <w:jc w:val="both"/>
        <w:rPr>
          <w:color w:val="201F1E"/>
          <w:sz w:val="22"/>
          <w:szCs w:val="22"/>
        </w:rPr>
      </w:pPr>
      <w:r w:rsidRPr="0002189F">
        <w:rPr>
          <w:color w:val="201F1E"/>
          <w:sz w:val="22"/>
          <w:szCs w:val="22"/>
        </w:rPr>
        <w:t xml:space="preserve">Papildus vēršam uzmanību uz to, ka Finanšu ministrija minēto normu pamato ar </w:t>
      </w:r>
      <w:r w:rsidRPr="0002189F">
        <w:rPr>
          <w:color w:val="201F1E"/>
          <w:sz w:val="22"/>
          <w:szCs w:val="22"/>
          <w:bdr w:val="none" w:sz="0" w:space="0" w:color="auto" w:frame="1"/>
        </w:rPr>
        <w:t xml:space="preserve">Direktīvas Nr. 2014/65/ES 7. panta 1. un 2. punkta pārņemšanu. </w:t>
      </w:r>
      <w:r w:rsidRPr="0002189F">
        <w:rPr>
          <w:color w:val="201F1E"/>
          <w:sz w:val="22"/>
          <w:szCs w:val="22"/>
        </w:rPr>
        <w:t xml:space="preserve">No Eiropas Savienības direktīvu pārņemšanas viedokļa iebildums ir uzturams. Direktīva nekādā veidā nepieprasa dalībvalstīm dublēt normatīvo regulējumu vairākos tiesību aktos. Šajā gadījumā </w:t>
      </w:r>
      <w:r w:rsidR="00A023B5" w:rsidRPr="0002189F">
        <w:rPr>
          <w:color w:val="201F1E"/>
          <w:sz w:val="22"/>
          <w:szCs w:val="22"/>
        </w:rPr>
        <w:t>likum</w:t>
      </w:r>
      <w:r w:rsidRPr="0002189F">
        <w:rPr>
          <w:color w:val="201F1E"/>
          <w:sz w:val="22"/>
          <w:szCs w:val="22"/>
        </w:rPr>
        <w:t>projekta 10. panta ceturtā daļa būtu izslēdzam, savukārt anotācijas V sadaļas 1. tabulā jānorāda, ka attiecīgā direktīvas norma pēc būtības pārņemta Administratīvā procesa likumā.</w:t>
      </w:r>
    </w:p>
    <w:p w14:paraId="2C91AAD6" w14:textId="28761AE3" w:rsidR="002C0920" w:rsidRPr="0002189F" w:rsidRDefault="002C0920"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 xml:space="preserve">J. </w:t>
      </w:r>
      <w:proofErr w:type="gramStart"/>
      <w:r w:rsidRPr="0002189F">
        <w:rPr>
          <w:rFonts w:ascii="Times New Roman" w:hAnsi="Times New Roman" w:cs="Times New Roman"/>
          <w:i/>
          <w:iCs/>
          <w:sz w:val="18"/>
          <w:szCs w:val="18"/>
        </w:rPr>
        <w:t>Ķupe 670369372,</w:t>
      </w:r>
      <w:proofErr w:type="gramEnd"/>
      <w:r w:rsidRPr="0002189F">
        <w:rPr>
          <w:rFonts w:ascii="Times New Roman" w:hAnsi="Times New Roman" w:cs="Times New Roman"/>
          <w:i/>
          <w:iCs/>
          <w:sz w:val="18"/>
          <w:szCs w:val="18"/>
        </w:rPr>
        <w:t xml:space="preserve"> juta.kupe@tm.gov.lv</w:t>
      </w:r>
    </w:p>
    <w:p w14:paraId="55F24B82" w14:textId="77777777" w:rsidR="005D430E" w:rsidRPr="0002189F" w:rsidRDefault="005D430E" w:rsidP="0002189F">
      <w:pPr>
        <w:spacing w:after="0" w:line="23" w:lineRule="atLeast"/>
        <w:ind w:firstLine="567"/>
        <w:jc w:val="both"/>
        <w:rPr>
          <w:rFonts w:ascii="Times New Roman" w:hAnsi="Times New Roman" w:cs="Times New Roman"/>
        </w:rPr>
      </w:pPr>
    </w:p>
    <w:p w14:paraId="7A2951D5" w14:textId="139A3975" w:rsidR="00D95DBB"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3</w:t>
      </w:r>
      <w:r w:rsidR="0079503B" w:rsidRPr="0002189F">
        <w:rPr>
          <w:rFonts w:ascii="Times New Roman" w:hAnsi="Times New Roman" w:cs="Times New Roman"/>
        </w:rPr>
        <w:t xml:space="preserve">. </w:t>
      </w:r>
      <w:r w:rsidR="00D95DBB" w:rsidRPr="0002189F">
        <w:rPr>
          <w:rFonts w:ascii="Times New Roman" w:hAnsi="Times New Roman" w:cs="Times New Roman"/>
        </w:rPr>
        <w:t>Uzturam izziņas II sadaļas 8. punktā ietverto Tieslietu ministrijas iebildumu, kurā lūgts izvērtēt lēmuma pieņemšanas termiņa skaitīšanu no brīža, kad persona iesniegusi visus dokumentus, un papildināt ar izvērtējumu anotāciju, jo tas pēc būtības nav ņemts vērā.</w:t>
      </w:r>
    </w:p>
    <w:p w14:paraId="1E355F1A" w14:textId="77777777" w:rsidR="00D95DBB" w:rsidRPr="0002189F" w:rsidRDefault="00D95DBB"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Ņemot vērā, ka iebildums nav ņemts vērā, turklāt arī izvērtējums anotācijā nav ietverts, tikai skaidrots, ka regulējums tiek pārņemts no attiecīgās direktīvas, atkārtoti norādām, ka lēmuma pieņemšanas termiņa skaitīšana no brīža, kad persona iesniegusi visus dokumentus, var nesamērīgi pagarināt termiņu, kādā tiks pieņemts lēmums. Proti, formāli lēmuma pieņemšanai noteikts sešu mēnešu termiņš, taču faktiski nav zināms, cik garš tas būs, ja persona, </w:t>
      </w:r>
      <w:r w:rsidRPr="0002189F">
        <w:rPr>
          <w:rFonts w:ascii="Times New Roman" w:hAnsi="Times New Roman" w:cs="Times New Roman"/>
        </w:rPr>
        <w:lastRenderedPageBreak/>
        <w:t>iesniedzot iesniegumu, nebūs iesniegusi visus lēmuma pieņemšanai nepieciešamos dokumentus.</w:t>
      </w:r>
    </w:p>
    <w:p w14:paraId="008E32B4" w14:textId="444AAE76" w:rsidR="00D95DBB" w:rsidRPr="0002189F" w:rsidRDefault="00D95DBB"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Ievērojot minēto, lūdzam atkārtoti izvērtēt šāda regulējuma samērīgumu, atbilstoši precizēt likumprojektā ietvertās normas, kā arī papildināt anotāciju ar attiecīgo izvērtējumu </w:t>
      </w:r>
      <w:r w:rsidR="00F435D8" w:rsidRPr="0002189F">
        <w:rPr>
          <w:rFonts w:ascii="Times New Roman" w:hAnsi="Times New Roman" w:cs="Times New Roman"/>
        </w:rPr>
        <w:t>likum</w:t>
      </w:r>
      <w:r w:rsidRPr="0002189F">
        <w:rPr>
          <w:rFonts w:ascii="Times New Roman" w:hAnsi="Times New Roman" w:cs="Times New Roman"/>
        </w:rPr>
        <w:t>projekta 12. panta pirmajai daļai, 14. panta trešajai daļai, 18. panta septītajai un astotajai daļai, kā arī 20. panta ceturtajai daļai.</w:t>
      </w:r>
    </w:p>
    <w:p w14:paraId="1FCE1ADD" w14:textId="700AF492" w:rsidR="009354F3" w:rsidRPr="0002189F" w:rsidRDefault="009354F3"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 xml:space="preserve">J. </w:t>
      </w:r>
      <w:proofErr w:type="gramStart"/>
      <w:r w:rsidRPr="0002189F">
        <w:rPr>
          <w:rFonts w:ascii="Times New Roman" w:hAnsi="Times New Roman" w:cs="Times New Roman"/>
          <w:i/>
          <w:iCs/>
          <w:sz w:val="18"/>
          <w:szCs w:val="18"/>
        </w:rPr>
        <w:t>Ķupe 670369372,</w:t>
      </w:r>
      <w:proofErr w:type="gramEnd"/>
      <w:r w:rsidRPr="0002189F">
        <w:rPr>
          <w:rFonts w:ascii="Times New Roman" w:hAnsi="Times New Roman" w:cs="Times New Roman"/>
          <w:i/>
          <w:iCs/>
          <w:sz w:val="18"/>
          <w:szCs w:val="18"/>
        </w:rPr>
        <w:t xml:space="preserve"> juta.kupe@tm.gov.lv</w:t>
      </w:r>
    </w:p>
    <w:p w14:paraId="6F55707C" w14:textId="77777777" w:rsidR="00D95DBB" w:rsidRPr="0002189F" w:rsidRDefault="00D95DBB" w:rsidP="0002189F">
      <w:pPr>
        <w:spacing w:after="0" w:line="23" w:lineRule="atLeast"/>
        <w:ind w:firstLine="567"/>
        <w:jc w:val="both"/>
        <w:rPr>
          <w:rFonts w:ascii="Times New Roman" w:hAnsi="Times New Roman" w:cs="Times New Roman"/>
          <w:i/>
          <w:iCs/>
        </w:rPr>
      </w:pPr>
    </w:p>
    <w:p w14:paraId="6BA183AC" w14:textId="43CC98DA" w:rsidR="00F07633"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4</w:t>
      </w:r>
      <w:r w:rsidR="00D51884" w:rsidRPr="0002189F">
        <w:rPr>
          <w:rFonts w:ascii="Times New Roman" w:hAnsi="Times New Roman" w:cs="Times New Roman"/>
        </w:rPr>
        <w:t xml:space="preserve">. </w:t>
      </w:r>
      <w:r w:rsidR="00F07633" w:rsidRPr="0002189F">
        <w:rPr>
          <w:rFonts w:ascii="Times New Roman" w:hAnsi="Times New Roman" w:cs="Times New Roman"/>
        </w:rPr>
        <w:t>Tieslietu ministrija uztur iepriekš izteikto iebildumu par likumprojekta 30. panta otro daļu un lūdz to precizēt tā, lai šī norma atbilstu Latvijas tiesību sistēmai.</w:t>
      </w:r>
    </w:p>
    <w:p w14:paraId="6DAF22BD" w14:textId="77777777" w:rsidR="00F70DF1" w:rsidRDefault="00F70DF1" w:rsidP="00F70DF1">
      <w:pPr>
        <w:spacing w:after="0" w:line="23" w:lineRule="atLeast"/>
        <w:ind w:firstLine="567"/>
        <w:jc w:val="both"/>
        <w:rPr>
          <w:rFonts w:ascii="Times New Roman" w:hAnsi="Times New Roman" w:cs="Times New Roman"/>
        </w:rPr>
      </w:pPr>
      <w:r>
        <w:rPr>
          <w:rFonts w:ascii="Times New Roman" w:hAnsi="Times New Roman" w:cs="Times New Roman"/>
        </w:rPr>
        <w:t xml:space="preserve">Finanšu ministrija skaidrojusi, ka </w:t>
      </w:r>
      <w:r w:rsidRPr="00AE569D">
        <w:rPr>
          <w:rFonts w:ascii="Times New Roman" w:hAnsi="Times New Roman" w:cs="Times New Roman"/>
        </w:rPr>
        <w:t>likumprojekta 30.</w:t>
      </w:r>
      <w:r>
        <w:rPr>
          <w:rFonts w:ascii="Times New Roman" w:hAnsi="Times New Roman" w:cs="Times New Roman"/>
        </w:rPr>
        <w:t> </w:t>
      </w:r>
      <w:r w:rsidRPr="00AE569D">
        <w:rPr>
          <w:rFonts w:ascii="Times New Roman" w:hAnsi="Times New Roman" w:cs="Times New Roman"/>
        </w:rPr>
        <w:t>panta otrā daļa atbilst Finanšu instrumentu tirgus likuma 13.</w:t>
      </w:r>
      <w:r>
        <w:rPr>
          <w:rFonts w:ascii="Times New Roman" w:hAnsi="Times New Roman" w:cs="Times New Roman"/>
        </w:rPr>
        <w:t> </w:t>
      </w:r>
      <w:r w:rsidRPr="00AE569D">
        <w:rPr>
          <w:rFonts w:ascii="Times New Roman" w:hAnsi="Times New Roman" w:cs="Times New Roman"/>
        </w:rPr>
        <w:t>panta otrās daļas redakcijai, kuras pamatā ir Direktīvas Nr. 2014/65/ES 11.</w:t>
      </w:r>
      <w:r>
        <w:rPr>
          <w:rFonts w:ascii="Times New Roman" w:hAnsi="Times New Roman" w:cs="Times New Roman"/>
        </w:rPr>
        <w:t> </w:t>
      </w:r>
      <w:r w:rsidRPr="00AE569D">
        <w:rPr>
          <w:rFonts w:ascii="Times New Roman" w:hAnsi="Times New Roman" w:cs="Times New Roman"/>
        </w:rPr>
        <w:t>panta 4.</w:t>
      </w:r>
      <w:r>
        <w:rPr>
          <w:rFonts w:ascii="Times New Roman" w:hAnsi="Times New Roman" w:cs="Times New Roman"/>
        </w:rPr>
        <w:t> </w:t>
      </w:r>
      <w:r w:rsidRPr="00AE569D">
        <w:rPr>
          <w:rFonts w:ascii="Times New Roman" w:hAnsi="Times New Roman" w:cs="Times New Roman"/>
        </w:rPr>
        <w:t>punkta prasības, kurš cita starpā nosaka, ka “ Ja kapitāldaļa ir iegūta, neievērojot kompetento iestāžu iebildumu, dalībvalstis neatkarīgi no citām sankcijām, kas jāpieņem, paredz attiecīgo balsstiesību atcelšanu, balsojuma atzīšanu par nederīgu vai iespēju to anulēt”</w:t>
      </w:r>
      <w:r>
        <w:rPr>
          <w:rFonts w:ascii="Times New Roman" w:hAnsi="Times New Roman" w:cs="Times New Roman"/>
        </w:rPr>
        <w:t xml:space="preserve">, un </w:t>
      </w:r>
      <w:r w:rsidRPr="00AE569D">
        <w:rPr>
          <w:rFonts w:ascii="Times New Roman" w:hAnsi="Times New Roman" w:cs="Times New Roman"/>
        </w:rPr>
        <w:t>precizējot likumprojekta 30.panta otro daļu pastāv iespēja radīt normas neatbilstību minētās direktīvas prasībām.</w:t>
      </w:r>
    </w:p>
    <w:p w14:paraId="72D4A165" w14:textId="77777777" w:rsidR="00F70DF1" w:rsidRPr="006C6260" w:rsidRDefault="00F70DF1" w:rsidP="00F70DF1">
      <w:pPr>
        <w:spacing w:after="0" w:line="23" w:lineRule="atLeast"/>
        <w:ind w:firstLine="567"/>
        <w:jc w:val="both"/>
        <w:rPr>
          <w:rFonts w:ascii="Times New Roman" w:hAnsi="Times New Roman" w:cs="Times New Roman"/>
        </w:rPr>
      </w:pPr>
      <w:r>
        <w:rPr>
          <w:rFonts w:ascii="Times New Roman" w:hAnsi="Times New Roman" w:cs="Times New Roman"/>
        </w:rPr>
        <w:t xml:space="preserve">Norādām, ka attiecīgās direktīvas 11. panta 4. punktā Tieslietu ministrijas ieskatā paredzētas dalībvalstu izvēles tiesības ieviest nacionālajā regulējumā kādu no trim piedāvātajiem risinājumiem: 1) balsstiesību atcelšanu; 2) balsojuma atzīšanu par nederīgu; vai 3) iespēju to anulēt gadījumos, kad </w:t>
      </w:r>
      <w:r w:rsidRPr="00AE569D">
        <w:rPr>
          <w:rFonts w:ascii="Times New Roman" w:hAnsi="Times New Roman" w:cs="Times New Roman"/>
        </w:rPr>
        <w:t>kapitāldaļa ir iegūta, neievērojot kompetento iestāžu iebildumu</w:t>
      </w:r>
      <w:r>
        <w:rPr>
          <w:rFonts w:ascii="Times New Roman" w:hAnsi="Times New Roman" w:cs="Times New Roman"/>
        </w:rPr>
        <w:t xml:space="preserve">. Ņemot vērā Tieslietu ministrijas 2021. gada 25. marta un 11. maija atzinumos paustos argumentus par likumprojekta 30. panta otrās daļas nesaderību ar Latvijas tiesību sistēmu, atkārtoti norādām, ka iebilstam pret izvēlēto risinājumu, kas pieļauj iespēju </w:t>
      </w:r>
      <w:r w:rsidRPr="00173E1D">
        <w:rPr>
          <w:rFonts w:ascii="Times New Roman" w:hAnsi="Times New Roman" w:cs="Times New Roman"/>
        </w:rPr>
        <w:t>akcionāru (dalībnieku) sapulces lēmum</w:t>
      </w:r>
      <w:r>
        <w:rPr>
          <w:rFonts w:ascii="Times New Roman" w:hAnsi="Times New Roman" w:cs="Times New Roman"/>
        </w:rPr>
        <w:t>us</w:t>
      </w:r>
      <w:r w:rsidRPr="00173E1D">
        <w:rPr>
          <w:rFonts w:ascii="Times New Roman" w:hAnsi="Times New Roman" w:cs="Times New Roman"/>
        </w:rPr>
        <w:t xml:space="preserve"> </w:t>
      </w:r>
      <w:r>
        <w:rPr>
          <w:rFonts w:ascii="Times New Roman" w:hAnsi="Times New Roman" w:cs="Times New Roman"/>
        </w:rPr>
        <w:t>atzīt par</w:t>
      </w:r>
      <w:r w:rsidRPr="00173E1D">
        <w:rPr>
          <w:rFonts w:ascii="Times New Roman" w:hAnsi="Times New Roman" w:cs="Times New Roman"/>
        </w:rPr>
        <w:t xml:space="preserve"> spēkā n</w:t>
      </w:r>
      <w:r>
        <w:rPr>
          <w:rFonts w:ascii="Times New Roman" w:hAnsi="Times New Roman" w:cs="Times New Roman"/>
        </w:rPr>
        <w:t>eesošiem n</w:t>
      </w:r>
      <w:r w:rsidRPr="00173E1D">
        <w:rPr>
          <w:rFonts w:ascii="Times New Roman" w:hAnsi="Times New Roman" w:cs="Times New Roman"/>
        </w:rPr>
        <w:t>o to pieņemšanas brīža</w:t>
      </w:r>
      <w:r>
        <w:rPr>
          <w:rFonts w:ascii="Times New Roman" w:hAnsi="Times New Roman" w:cs="Times New Roman"/>
        </w:rPr>
        <w:t xml:space="preserve"> bez tiesas nolēmuma. </w:t>
      </w:r>
    </w:p>
    <w:p w14:paraId="681F01C4" w14:textId="2E4553A6" w:rsidR="009354F3" w:rsidRPr="0002189F" w:rsidRDefault="009354F3"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G. Daukste</w:t>
      </w:r>
      <w:r w:rsidRPr="0002189F">
        <w:rPr>
          <w:rFonts w:ascii="Times New Roman" w:hAnsi="Times New Roman" w:cs="Times New Roman"/>
          <w:sz w:val="18"/>
          <w:szCs w:val="18"/>
        </w:rPr>
        <w:t xml:space="preserve"> </w:t>
      </w:r>
      <w:r w:rsidRPr="0002189F">
        <w:rPr>
          <w:rFonts w:ascii="Times New Roman" w:hAnsi="Times New Roman" w:cs="Times New Roman"/>
          <w:i/>
          <w:iCs/>
          <w:sz w:val="18"/>
          <w:szCs w:val="18"/>
        </w:rPr>
        <w:t>67036795, gita.daukste@tm.gov.lv</w:t>
      </w:r>
    </w:p>
    <w:p w14:paraId="68C33037" w14:textId="77777777" w:rsidR="00F07633" w:rsidRPr="0002189F" w:rsidRDefault="00F07633" w:rsidP="0002189F">
      <w:pPr>
        <w:spacing w:after="0" w:line="23" w:lineRule="atLeast"/>
        <w:ind w:firstLine="567"/>
        <w:jc w:val="both"/>
        <w:rPr>
          <w:rFonts w:ascii="Times New Roman" w:hAnsi="Times New Roman" w:cs="Times New Roman"/>
        </w:rPr>
      </w:pPr>
    </w:p>
    <w:p w14:paraId="28910963" w14:textId="3260ACF7" w:rsidR="00A318CA" w:rsidRPr="0002189F" w:rsidRDefault="00F70DF1" w:rsidP="0002189F">
      <w:pPr>
        <w:pStyle w:val="xmsonospacing"/>
        <w:shd w:val="clear" w:color="auto" w:fill="FFFFFF"/>
        <w:spacing w:before="0" w:beforeAutospacing="0" w:after="0" w:afterAutospacing="0" w:line="23" w:lineRule="atLeast"/>
        <w:ind w:firstLine="567"/>
        <w:jc w:val="both"/>
        <w:rPr>
          <w:sz w:val="22"/>
          <w:szCs w:val="22"/>
        </w:rPr>
      </w:pPr>
      <w:r>
        <w:rPr>
          <w:sz w:val="22"/>
          <w:szCs w:val="22"/>
        </w:rPr>
        <w:t>5</w:t>
      </w:r>
      <w:r w:rsidR="0079503B" w:rsidRPr="0002189F">
        <w:rPr>
          <w:sz w:val="22"/>
          <w:szCs w:val="22"/>
        </w:rPr>
        <w:t xml:space="preserve">. </w:t>
      </w:r>
      <w:r w:rsidR="00A318CA" w:rsidRPr="0002189F">
        <w:rPr>
          <w:sz w:val="22"/>
          <w:szCs w:val="22"/>
        </w:rPr>
        <w:t>Uzturam izziņas II sadaļas 22. punktā ietverto Tieslietu ministrijas iebildumu.</w:t>
      </w:r>
    </w:p>
    <w:p w14:paraId="5F21D22F" w14:textId="470C9B30" w:rsidR="00A318CA" w:rsidRPr="0002189F" w:rsidRDefault="00A318CA" w:rsidP="0002189F">
      <w:pPr>
        <w:pStyle w:val="xmsonospacing"/>
        <w:shd w:val="clear" w:color="auto" w:fill="FFFFFF"/>
        <w:spacing w:before="0" w:beforeAutospacing="0" w:after="0" w:afterAutospacing="0" w:line="23" w:lineRule="atLeast"/>
        <w:ind w:firstLine="567"/>
        <w:jc w:val="both"/>
        <w:rPr>
          <w:sz w:val="22"/>
          <w:szCs w:val="22"/>
        </w:rPr>
      </w:pPr>
      <w:r w:rsidRPr="0002189F">
        <w:rPr>
          <w:sz w:val="22"/>
          <w:szCs w:val="22"/>
        </w:rPr>
        <w:t>Likumprojekta 31. panta pirmās daļas 8. punkts joprojām paredz, ka "saskaņā ar šā likuma prasībām, Komisijas normatīvajiem noteikumiem un ieguldījumu brokeru sabiedrības iekšējās kārtības noteikumiem veic datu apstrādes, glabāšanas un pārraides drošības pasākumus". Finanšu ministrija norāda, ka minētais regulējums ir analoģisks Finanšu instrumentu tirgus likuma 124. panta pirmās daļas 6. punktam un atbilst Direktīvas Nr. 2014/65/ES 16. panta 5. punkta 2. rindkopai.</w:t>
      </w:r>
    </w:p>
    <w:p w14:paraId="2F895042" w14:textId="7D11F9AA" w:rsidR="00A318CA" w:rsidRPr="0002189F" w:rsidRDefault="00A318CA" w:rsidP="0002189F">
      <w:pPr>
        <w:pStyle w:val="xmsonospacing"/>
        <w:shd w:val="clear" w:color="auto" w:fill="FFFFFF"/>
        <w:spacing w:before="0" w:beforeAutospacing="0" w:after="0" w:afterAutospacing="0" w:line="23" w:lineRule="atLeast"/>
        <w:ind w:firstLine="567"/>
        <w:jc w:val="both"/>
        <w:rPr>
          <w:sz w:val="22"/>
          <w:szCs w:val="22"/>
        </w:rPr>
      </w:pPr>
      <w:r w:rsidRPr="0002189F">
        <w:rPr>
          <w:sz w:val="22"/>
          <w:szCs w:val="22"/>
        </w:rPr>
        <w:t xml:space="preserve">Vēršam uzmanību, ka attiecīgā direktīvas norma noteic: "Ieguldījumu brokeru sabiedrībai </w:t>
      </w:r>
      <w:r w:rsidRPr="0002189F">
        <w:rPr>
          <w:sz w:val="22"/>
          <w:szCs w:val="22"/>
          <w:u w:val="single"/>
        </w:rPr>
        <w:t>ir</w:t>
      </w:r>
      <w:r w:rsidRPr="0002189F">
        <w:rPr>
          <w:sz w:val="22"/>
          <w:szCs w:val="22"/>
        </w:rPr>
        <w:t xml:space="preserve"> atbilstīgas administratīvās un grāmatvedības procedūras, iekšējās kontroles mehānisms, efektīvas riska novērtēšanas procedūras un efektīvi informācijas apstrādes sistēmu kontroles un drošības pasākumi.". Ar minēto direktīvas prasību nevar pamatot atsauci uz iekšējiem normatīvajiem aktiem </w:t>
      </w:r>
      <w:r w:rsidR="00F435D8" w:rsidRPr="0002189F">
        <w:rPr>
          <w:sz w:val="22"/>
          <w:szCs w:val="22"/>
        </w:rPr>
        <w:t>likum</w:t>
      </w:r>
      <w:r w:rsidRPr="0002189F">
        <w:rPr>
          <w:sz w:val="22"/>
          <w:szCs w:val="22"/>
        </w:rPr>
        <w:t xml:space="preserve">projektā. Ierosinām izslēgt teksta daļu "saskaņā ar šā likuma prasībām, Komisijas normatīvajiem noteikumiem un ieguldījumu brokeru sabiedrības iekšējās kārtības noteikumiem", </w:t>
      </w:r>
      <w:proofErr w:type="gramStart"/>
      <w:r w:rsidRPr="0002189F">
        <w:rPr>
          <w:sz w:val="22"/>
          <w:szCs w:val="22"/>
        </w:rPr>
        <w:t>likumprojektā atstājot tikai brokeru sabiedrības pienākumu</w:t>
      </w:r>
      <w:proofErr w:type="gramEnd"/>
      <w:r w:rsidRPr="0002189F">
        <w:rPr>
          <w:sz w:val="22"/>
          <w:szCs w:val="22"/>
        </w:rPr>
        <w:t xml:space="preserve"> nodrošināt datu apstrādi (kas </w:t>
      </w:r>
      <w:r w:rsidRPr="0002189F">
        <w:rPr>
          <w:i/>
          <w:iCs/>
          <w:sz w:val="22"/>
          <w:szCs w:val="22"/>
        </w:rPr>
        <w:t xml:space="preserve">per </w:t>
      </w:r>
      <w:proofErr w:type="spellStart"/>
      <w:r w:rsidRPr="0002189F">
        <w:rPr>
          <w:i/>
          <w:iCs/>
          <w:sz w:val="22"/>
          <w:szCs w:val="22"/>
        </w:rPr>
        <w:t>se</w:t>
      </w:r>
      <w:proofErr w:type="spellEnd"/>
      <w:r w:rsidRPr="0002189F">
        <w:rPr>
          <w:i/>
          <w:iCs/>
          <w:sz w:val="22"/>
          <w:szCs w:val="22"/>
        </w:rPr>
        <w:t xml:space="preserve"> </w:t>
      </w:r>
      <w:r w:rsidRPr="0002189F">
        <w:rPr>
          <w:sz w:val="22"/>
          <w:szCs w:val="22"/>
        </w:rPr>
        <w:t xml:space="preserve">paredz pienākumu ievērot </w:t>
      </w:r>
      <w:r w:rsidRPr="0002189F">
        <w:rPr>
          <w:sz w:val="22"/>
          <w:szCs w:val="22"/>
          <w:u w:val="single"/>
        </w:rPr>
        <w:t>saistošos</w:t>
      </w:r>
      <w:r w:rsidRPr="0002189F">
        <w:rPr>
          <w:sz w:val="22"/>
          <w:szCs w:val="22"/>
        </w:rPr>
        <w:t xml:space="preserve"> normatīvos aktus).</w:t>
      </w:r>
    </w:p>
    <w:p w14:paraId="447BFDCC" w14:textId="05FF6A52" w:rsidR="009354F3" w:rsidRPr="0002189F" w:rsidRDefault="009354F3" w:rsidP="0002189F">
      <w:pPr>
        <w:tabs>
          <w:tab w:val="left" w:pos="2415"/>
        </w:tabs>
        <w:spacing w:after="0" w:line="23" w:lineRule="atLeast"/>
        <w:rPr>
          <w:rFonts w:ascii="Times New Roman" w:hAnsi="Times New Roman" w:cs="Times New Roman"/>
          <w:i/>
          <w:iCs/>
          <w:sz w:val="18"/>
          <w:szCs w:val="18"/>
        </w:rPr>
      </w:pPr>
      <w:r w:rsidRPr="0002189F">
        <w:rPr>
          <w:rFonts w:ascii="Times New Roman" w:hAnsi="Times New Roman" w:cs="Times New Roman"/>
          <w:i/>
          <w:iCs/>
          <w:sz w:val="18"/>
          <w:szCs w:val="18"/>
        </w:rPr>
        <w:t xml:space="preserve">J. </w:t>
      </w:r>
      <w:proofErr w:type="gramStart"/>
      <w:r w:rsidRPr="0002189F">
        <w:rPr>
          <w:rFonts w:ascii="Times New Roman" w:hAnsi="Times New Roman" w:cs="Times New Roman"/>
          <w:i/>
          <w:iCs/>
          <w:sz w:val="18"/>
          <w:szCs w:val="18"/>
        </w:rPr>
        <w:t>Ķupe 67036937,</w:t>
      </w:r>
      <w:proofErr w:type="gramEnd"/>
      <w:r w:rsidRPr="0002189F">
        <w:rPr>
          <w:rFonts w:ascii="Times New Roman" w:hAnsi="Times New Roman" w:cs="Times New Roman"/>
          <w:i/>
          <w:iCs/>
          <w:sz w:val="18"/>
          <w:szCs w:val="18"/>
        </w:rPr>
        <w:t xml:space="preserve"> juta.kupe@tm.gov.lv</w:t>
      </w:r>
    </w:p>
    <w:p w14:paraId="56F1B484" w14:textId="77777777" w:rsidR="00A318CA" w:rsidRPr="0002189F" w:rsidRDefault="00A318CA"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A. Reinfelde 67046108, andra.reinfelde@tm.gov.lv</w:t>
      </w:r>
    </w:p>
    <w:p w14:paraId="73B40562" w14:textId="77777777" w:rsidR="00A318CA" w:rsidRPr="0002189F" w:rsidRDefault="00A318CA" w:rsidP="0002189F">
      <w:pPr>
        <w:spacing w:after="0" w:line="23" w:lineRule="atLeast"/>
        <w:ind w:firstLine="567"/>
        <w:jc w:val="both"/>
        <w:rPr>
          <w:rFonts w:ascii="Times New Roman" w:hAnsi="Times New Roman" w:cs="Times New Roman"/>
        </w:rPr>
      </w:pPr>
    </w:p>
    <w:p w14:paraId="01C86889" w14:textId="21E5DF40" w:rsidR="00A023B5"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6</w:t>
      </w:r>
      <w:r w:rsidR="00F605CF" w:rsidRPr="0002189F">
        <w:rPr>
          <w:rFonts w:ascii="Times New Roman" w:hAnsi="Times New Roman" w:cs="Times New Roman"/>
        </w:rPr>
        <w:t xml:space="preserve">. </w:t>
      </w:r>
      <w:r w:rsidR="00A023B5" w:rsidRPr="0002189F">
        <w:rPr>
          <w:rFonts w:ascii="Times New Roman" w:hAnsi="Times New Roman" w:cs="Times New Roman"/>
        </w:rPr>
        <w:t>Uzturam izziņas I sadaļas 22. punktā ietverto iebildumu, jo pēc būtības iebildums nav ņemts vērā.</w:t>
      </w:r>
    </w:p>
    <w:p w14:paraId="005F0832" w14:textId="34C44403" w:rsidR="00A023B5" w:rsidRPr="0002189F" w:rsidRDefault="00A023B5" w:rsidP="0002189F">
      <w:pPr>
        <w:pStyle w:val="Bezatstarpm"/>
        <w:spacing w:line="23" w:lineRule="atLeast"/>
        <w:ind w:firstLine="567"/>
        <w:jc w:val="both"/>
        <w:rPr>
          <w:sz w:val="22"/>
          <w:lang w:val="lv-LV"/>
        </w:rPr>
      </w:pPr>
      <w:r w:rsidRPr="0002189F">
        <w:rPr>
          <w:sz w:val="22"/>
          <w:lang w:val="lv-LV"/>
        </w:rPr>
        <w:t>Vēršam uzmanību, ka precizētais likumprojekta 35. pants noteic, ka Komisija ir tiesīga līdz šajā pantā minēto apstākļu izbeigšanās brīdim ierobežot ieguldījumu brokeru sabiedrības tiesības sniegt vienu vai vairākus ieguldījumu pakalpojumus un veikt finanšu instrumentu turēšanu. Noteiktu apstākļu izbeigšanās brīdis nav konkrēts termiņš, proti, tas joprojām nenoteic tiesību ierobežošanas maksimālo termiņu, jo likumprojekta 35. pantā ietvertie apstākļi var arī neizbeigties un turpināties nenosakāmi ilgi, tāpat arī tiesību ierobežojums.</w:t>
      </w:r>
    </w:p>
    <w:p w14:paraId="58CA1106" w14:textId="2907958E" w:rsidR="00A023B5" w:rsidRPr="0002189F" w:rsidRDefault="00A023B5" w:rsidP="0002189F">
      <w:pPr>
        <w:pStyle w:val="Bezatstarpm"/>
        <w:spacing w:line="23" w:lineRule="atLeast"/>
        <w:ind w:firstLine="567"/>
        <w:jc w:val="both"/>
        <w:rPr>
          <w:sz w:val="22"/>
          <w:lang w:val="lv-LV"/>
        </w:rPr>
      </w:pPr>
      <w:r w:rsidRPr="0002189F">
        <w:rPr>
          <w:sz w:val="22"/>
          <w:lang w:val="lv-LV"/>
        </w:rPr>
        <w:t xml:space="preserve">Ievērojot minēto, atkārtoti vēršam uzmanību, ka liegums personai sniegt pakalpojumu ir </w:t>
      </w:r>
      <w:r w:rsidRPr="0002189F">
        <w:rPr>
          <w:sz w:val="22"/>
          <w:lang w:val="lv-LV"/>
        </w:rPr>
        <w:lastRenderedPageBreak/>
        <w:t>būtisks privātpersonas tiesību ierobežojums, tāpēc nav pieļaujams, ka tas tiek paredzēts bez termiņa. Vienlaikus, nosakot termiņu, lūdzam anotācijā ietver atbilstošu izvēlētā termiņa pamatojumu. Ievērojot minēto, lūdzam precizēt likumprojektu.</w:t>
      </w:r>
    </w:p>
    <w:p w14:paraId="7F60FB6F" w14:textId="6871F1DE" w:rsidR="009354F3" w:rsidRPr="0002189F" w:rsidRDefault="009354F3" w:rsidP="0002189F">
      <w:pPr>
        <w:pStyle w:val="Bezatstarpm"/>
        <w:spacing w:line="23" w:lineRule="atLeast"/>
        <w:jc w:val="both"/>
        <w:rPr>
          <w:i/>
          <w:iCs/>
          <w:sz w:val="18"/>
          <w:szCs w:val="18"/>
          <w:lang w:val="lv-LV"/>
        </w:rPr>
      </w:pPr>
      <w:r w:rsidRPr="0002189F">
        <w:rPr>
          <w:i/>
          <w:iCs/>
          <w:sz w:val="18"/>
          <w:szCs w:val="18"/>
          <w:lang w:val="lv-LV"/>
        </w:rPr>
        <w:t xml:space="preserve">J. </w:t>
      </w:r>
      <w:proofErr w:type="gramStart"/>
      <w:r w:rsidRPr="0002189F">
        <w:rPr>
          <w:i/>
          <w:iCs/>
          <w:sz w:val="18"/>
          <w:szCs w:val="18"/>
          <w:lang w:val="lv-LV"/>
        </w:rPr>
        <w:t>Ķupe 67036937,</w:t>
      </w:r>
      <w:proofErr w:type="gramEnd"/>
      <w:r w:rsidRPr="0002189F">
        <w:rPr>
          <w:i/>
          <w:iCs/>
          <w:sz w:val="18"/>
          <w:szCs w:val="18"/>
          <w:lang w:val="lv-LV"/>
        </w:rPr>
        <w:t xml:space="preserve"> juta.kupe@tm.gov.lv</w:t>
      </w:r>
    </w:p>
    <w:p w14:paraId="7658B620" w14:textId="77777777" w:rsidR="00A023B5" w:rsidRPr="0002189F" w:rsidRDefault="00A023B5" w:rsidP="0002189F">
      <w:pPr>
        <w:pStyle w:val="Bezatstarpm"/>
        <w:spacing w:line="23" w:lineRule="atLeast"/>
        <w:ind w:firstLine="567"/>
        <w:jc w:val="both"/>
        <w:rPr>
          <w:i/>
          <w:iCs/>
          <w:sz w:val="22"/>
          <w:lang w:val="lv-LV"/>
        </w:rPr>
      </w:pPr>
    </w:p>
    <w:p w14:paraId="6BC8E621" w14:textId="62E60FBC" w:rsidR="001D57AE"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7</w:t>
      </w:r>
      <w:r w:rsidR="00C80034" w:rsidRPr="0002189F">
        <w:rPr>
          <w:rFonts w:ascii="Times New Roman" w:hAnsi="Times New Roman" w:cs="Times New Roman"/>
        </w:rPr>
        <w:t xml:space="preserve">. </w:t>
      </w:r>
      <w:r w:rsidR="001D57AE" w:rsidRPr="0002189F">
        <w:rPr>
          <w:rFonts w:ascii="Times New Roman" w:hAnsi="Times New Roman" w:cs="Times New Roman"/>
        </w:rPr>
        <w:t>Uzturam izziņas I sadaļas 28. punktā ietverto Tieslietu ministrijas iebildumu.</w:t>
      </w:r>
    </w:p>
    <w:p w14:paraId="1531600D" w14:textId="231CE858" w:rsidR="001D57AE" w:rsidRPr="0002189F" w:rsidRDefault="001D57AE"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Atkārtoti vēršam uzmanību, ka likumprojekta 62. panta trešā daļa paredz Komisijas tiesības pilnvarot citu personu pēc citas dalībvalsts uzraudzības institūcijas lūguma veikt vai sniegt atļauju veikt informācijas patiesuma pārbaudi par šā panta pirmajā daļā Latvijas Republikā reģistrētām sabiedrībām. Saskaņā ar Valsts pārvaldes iekārtas likuma 41. panta trešās daļas 5. punktu privātpersonai nevar deleģēt pārvaldes uzdevumus, kuri pēc savas būtības ir valsts pārvaldes funkcijas pamats un kurus drīkst veikt tikai iestādes. Vēršam uzmanību, ka, lai arī likumprojektā tā ir nosaukta par atļaujas sniegšanu, tā pēc būtības ir valsts uzdevuma nodošana citai personai, turklāt privātpersonai. Papildus norādām, ka Komisijas tiesības pilnvarot citu personu veikt noteiktas darbības ietvertas arī likumprojekta 64. panta trešajā daļā.</w:t>
      </w:r>
    </w:p>
    <w:p w14:paraId="223E811B" w14:textId="77777777" w:rsidR="001D57AE" w:rsidRPr="0002189F" w:rsidRDefault="001D57AE"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Tieslietu ministrijas ieskatā Direktīvas Nr. 2019/2034 50. panta 2. punktā tiek uzskaitīti iespējamie/pieļaujamie rīcības varianti, bet no tā neizriet, ka nacionālajās tiesībās būtu jāpārņem visi uzskaitītie varianti. Ja kāds no tiem ir pretrunā nacionālajām tiesībām, tad Direktīvas Nr. 2019/2034 korektai pārņemšanai pietiek ar vienas no uzskaitītajām iespējām transponēšanu.</w:t>
      </w:r>
    </w:p>
    <w:p w14:paraId="52EBACFE" w14:textId="77777777" w:rsidR="001D57AE" w:rsidRPr="0002189F" w:rsidRDefault="001D57AE"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Ņemot vērā minēto, lūdzam atbilstoši precizēt likumprojektu.</w:t>
      </w:r>
    </w:p>
    <w:p w14:paraId="5A200A9C" w14:textId="270A345D" w:rsidR="009354F3" w:rsidRPr="0002189F" w:rsidRDefault="009354F3"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 xml:space="preserve">J. </w:t>
      </w:r>
      <w:proofErr w:type="gramStart"/>
      <w:r w:rsidRPr="0002189F">
        <w:rPr>
          <w:rFonts w:ascii="Times New Roman" w:hAnsi="Times New Roman" w:cs="Times New Roman"/>
          <w:i/>
          <w:iCs/>
          <w:sz w:val="18"/>
          <w:szCs w:val="18"/>
        </w:rPr>
        <w:t>Ķupe 67036937,</w:t>
      </w:r>
      <w:proofErr w:type="gramEnd"/>
      <w:r w:rsidRPr="0002189F">
        <w:rPr>
          <w:rFonts w:ascii="Times New Roman" w:hAnsi="Times New Roman" w:cs="Times New Roman"/>
          <w:i/>
          <w:iCs/>
          <w:sz w:val="18"/>
          <w:szCs w:val="18"/>
        </w:rPr>
        <w:t xml:space="preserve"> juta.kupe@tm.gov.lv</w:t>
      </w:r>
    </w:p>
    <w:p w14:paraId="4D8796B2" w14:textId="77777777" w:rsidR="001D57AE" w:rsidRPr="0002189F" w:rsidRDefault="001D57AE" w:rsidP="0002189F">
      <w:pPr>
        <w:spacing w:after="0" w:line="23" w:lineRule="atLeast"/>
        <w:ind w:firstLine="567"/>
        <w:jc w:val="both"/>
        <w:rPr>
          <w:rFonts w:ascii="Times New Roman" w:hAnsi="Times New Roman" w:cs="Times New Roman"/>
          <w:i/>
          <w:iCs/>
        </w:rPr>
      </w:pPr>
    </w:p>
    <w:p w14:paraId="5068898F" w14:textId="40750E45" w:rsidR="0021032E" w:rsidRPr="0002189F" w:rsidRDefault="00F70DF1" w:rsidP="0002189F">
      <w:pPr>
        <w:pStyle w:val="Bezatstarpm"/>
        <w:spacing w:line="23" w:lineRule="atLeast"/>
        <w:ind w:firstLine="567"/>
        <w:jc w:val="both"/>
        <w:rPr>
          <w:sz w:val="22"/>
          <w:lang w:val="lv-LV"/>
        </w:rPr>
      </w:pPr>
      <w:r>
        <w:rPr>
          <w:sz w:val="22"/>
          <w:lang w:val="lv-LV"/>
        </w:rPr>
        <w:t>8</w:t>
      </w:r>
      <w:r w:rsidR="00C80034" w:rsidRPr="0002189F">
        <w:rPr>
          <w:sz w:val="22"/>
          <w:lang w:val="lv-LV"/>
        </w:rPr>
        <w:t xml:space="preserve">. </w:t>
      </w:r>
      <w:r w:rsidR="0021032E" w:rsidRPr="0002189F">
        <w:rPr>
          <w:sz w:val="22"/>
          <w:lang w:val="lv-LV"/>
        </w:rPr>
        <w:t xml:space="preserve">Uzturam izziņas I sadaļas 30. punktā ietverto Tieslietu ministrijas iebildumu. Atkārtoti vēršam uzmanību, ka </w:t>
      </w:r>
      <w:r w:rsidR="004B6A89" w:rsidRPr="0002189F">
        <w:rPr>
          <w:sz w:val="22"/>
          <w:lang w:val="lv-LV"/>
        </w:rPr>
        <w:t>likum</w:t>
      </w:r>
      <w:r w:rsidR="0021032E" w:rsidRPr="0002189F">
        <w:rPr>
          <w:sz w:val="22"/>
          <w:lang w:val="lv-LV"/>
        </w:rPr>
        <w:t>projekta 68. panta trešās daļas 2. punkts dublē Administratīvā procesa likuma 185. panta ceturtās daļas 10. punktu, tāpēc atbilstoši noteikumu Nr. 108 3.2. apakšpunktam lūdzam to izslēgt.</w:t>
      </w:r>
    </w:p>
    <w:p w14:paraId="55720BE3" w14:textId="77777777" w:rsidR="0021032E" w:rsidRPr="0002189F" w:rsidRDefault="0021032E" w:rsidP="0002189F">
      <w:pPr>
        <w:pStyle w:val="Bezatstarpm"/>
        <w:spacing w:line="23" w:lineRule="atLeast"/>
        <w:ind w:firstLine="567"/>
        <w:jc w:val="both"/>
        <w:rPr>
          <w:sz w:val="22"/>
          <w:lang w:val="lv-LV"/>
        </w:rPr>
      </w:pPr>
      <w:r w:rsidRPr="0002189F">
        <w:rPr>
          <w:sz w:val="22"/>
          <w:lang w:val="lv-LV"/>
        </w:rPr>
        <w:t xml:space="preserve">No tiesību normu pārrakstīšanas ir jāvairās, jo tas var radīt pārpratumu par tiesību normas juridisko rangu. Ja viens no normatīvajiem aktiem tiek grozīts un otrajā grozījumi kaut kādu iemeslu dēļ netiek izdarīti, radīsies pretrunas starp piemērojamām normām un adresāts var kļūdaini atsaukties uz nepareizo tiesību normu </w:t>
      </w:r>
      <w:proofErr w:type="gramStart"/>
      <w:r w:rsidRPr="0002189F">
        <w:rPr>
          <w:i/>
          <w:iCs/>
          <w:sz w:val="22"/>
          <w:lang w:val="lv-LV"/>
        </w:rPr>
        <w:t>(</w:t>
      </w:r>
      <w:proofErr w:type="gramEnd"/>
      <w:r w:rsidRPr="0002189F">
        <w:rPr>
          <w:i/>
          <w:iCs/>
          <w:sz w:val="22"/>
          <w:lang w:val="lv-LV"/>
        </w:rPr>
        <w:t>sk. Valsts kanceleja: Normatīvo aktu projektu izstrādes rokasgrāmata, Rīga, 2016, 17.-18. lpp.).</w:t>
      </w:r>
    </w:p>
    <w:p w14:paraId="133EF49C" w14:textId="77777777" w:rsidR="0021032E" w:rsidRPr="0002189F" w:rsidRDefault="0021032E" w:rsidP="0002189F">
      <w:pPr>
        <w:pStyle w:val="Bezatstarpm"/>
        <w:spacing w:line="23" w:lineRule="atLeast"/>
        <w:ind w:firstLine="567"/>
        <w:jc w:val="both"/>
        <w:rPr>
          <w:sz w:val="22"/>
          <w:lang w:val="lv-LV"/>
        </w:rPr>
      </w:pPr>
      <w:r w:rsidRPr="0002189F">
        <w:rPr>
          <w:sz w:val="22"/>
          <w:lang w:val="lv-LV"/>
        </w:rPr>
        <w:t xml:space="preserve">Vienlaikus jānorāda, ka ikvienam, kas vēlas saņemt licenci, lai darbotos Latvijas tirgū, būtu jāpārzina kā minimums galvenie procesuālie likumi, kas regulēs to darbību, tostarp Administratīvā procesa likums, tāpēc nevarētu piekrist, ka šāda tiesību normu dublēšana veicinās savlaicīgu informētību. </w:t>
      </w:r>
    </w:p>
    <w:p w14:paraId="713AC2C9" w14:textId="1F5E7845" w:rsidR="0021032E" w:rsidRPr="0002189F" w:rsidRDefault="0021032E" w:rsidP="0002189F">
      <w:pPr>
        <w:pStyle w:val="Bezatstarpm"/>
        <w:spacing w:line="23" w:lineRule="atLeast"/>
        <w:ind w:firstLine="567"/>
        <w:jc w:val="both"/>
        <w:rPr>
          <w:i/>
          <w:iCs/>
          <w:sz w:val="22"/>
          <w:lang w:val="lv-LV"/>
        </w:rPr>
      </w:pPr>
      <w:r w:rsidRPr="0002189F">
        <w:rPr>
          <w:sz w:val="22"/>
          <w:lang w:val="lv-LV"/>
        </w:rPr>
        <w:t>Turklāt jānorāda, ka atbilstoši noteikumu Nr. 108 4. punktam daļēja tiesību normu pārrakstīšana ir pieļaujama, ja citādi nebūtu</w:t>
      </w:r>
      <w:proofErr w:type="gramStart"/>
      <w:r w:rsidRPr="0002189F">
        <w:rPr>
          <w:sz w:val="22"/>
          <w:lang w:val="lv-LV"/>
        </w:rPr>
        <w:t xml:space="preserve"> iespējams</w:t>
      </w:r>
      <w:proofErr w:type="gramEnd"/>
      <w:r w:rsidRPr="0002189F">
        <w:rPr>
          <w:sz w:val="22"/>
          <w:lang w:val="lv-LV"/>
        </w:rPr>
        <w:t xml:space="preserve"> saprotami un skaidri formulēt tiesību normu, tomēr uz </w:t>
      </w:r>
      <w:r w:rsidR="00F435D8" w:rsidRPr="0002189F">
        <w:rPr>
          <w:sz w:val="22"/>
          <w:lang w:val="lv-LV"/>
        </w:rPr>
        <w:t>likum</w:t>
      </w:r>
      <w:r w:rsidRPr="0002189F">
        <w:rPr>
          <w:sz w:val="22"/>
          <w:lang w:val="lv-LV"/>
        </w:rPr>
        <w:t xml:space="preserve">projektā ietverto regulējumu to nevar attiecināt, jo regulējums Administratīvā procesa likumā ir pietiekoši skaidrs un saprotams </w:t>
      </w:r>
      <w:r w:rsidRPr="0002189F">
        <w:rPr>
          <w:i/>
          <w:iCs/>
          <w:sz w:val="22"/>
          <w:lang w:val="lv-LV"/>
        </w:rPr>
        <w:t>(sal. Valsts kanceleja: Normatīvo aktu projektu izstrādes rokasgrāmata, Rīga, 2016, 18. lpp.).</w:t>
      </w:r>
    </w:p>
    <w:p w14:paraId="1A43E6A1" w14:textId="1A7C5E86" w:rsidR="009354F3" w:rsidRPr="0002189F" w:rsidRDefault="009354F3" w:rsidP="0002189F">
      <w:pPr>
        <w:pStyle w:val="Bezatstarpm"/>
        <w:spacing w:line="23" w:lineRule="atLeast"/>
        <w:jc w:val="both"/>
        <w:rPr>
          <w:i/>
          <w:iCs/>
          <w:sz w:val="18"/>
          <w:szCs w:val="18"/>
          <w:lang w:val="lv-LV"/>
        </w:rPr>
      </w:pPr>
      <w:r w:rsidRPr="0002189F">
        <w:rPr>
          <w:i/>
          <w:iCs/>
          <w:sz w:val="18"/>
          <w:szCs w:val="18"/>
          <w:lang w:val="lv-LV"/>
        </w:rPr>
        <w:t xml:space="preserve">J. </w:t>
      </w:r>
      <w:proofErr w:type="gramStart"/>
      <w:r w:rsidRPr="0002189F">
        <w:rPr>
          <w:i/>
          <w:iCs/>
          <w:sz w:val="18"/>
          <w:szCs w:val="18"/>
          <w:lang w:val="lv-LV"/>
        </w:rPr>
        <w:t>Ķupe 67036937,</w:t>
      </w:r>
      <w:proofErr w:type="gramEnd"/>
      <w:r w:rsidRPr="0002189F">
        <w:rPr>
          <w:i/>
          <w:iCs/>
          <w:sz w:val="18"/>
          <w:szCs w:val="18"/>
          <w:lang w:val="lv-LV"/>
        </w:rPr>
        <w:t xml:space="preserve"> juta.kupe@tm.gov.lv</w:t>
      </w:r>
    </w:p>
    <w:p w14:paraId="3042FAE5" w14:textId="77777777" w:rsidR="0021032E" w:rsidRPr="0002189F" w:rsidRDefault="0021032E" w:rsidP="0002189F">
      <w:pPr>
        <w:pStyle w:val="Bezatstarpm"/>
        <w:spacing w:line="23" w:lineRule="atLeast"/>
        <w:ind w:firstLine="567"/>
        <w:jc w:val="both"/>
        <w:rPr>
          <w:i/>
          <w:iCs/>
          <w:sz w:val="22"/>
          <w:lang w:val="lv-LV"/>
        </w:rPr>
      </w:pPr>
    </w:p>
    <w:p w14:paraId="414DF8F2" w14:textId="31FA9982" w:rsidR="00DF69C6"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9</w:t>
      </w:r>
      <w:r w:rsidR="00C80034" w:rsidRPr="0002189F">
        <w:rPr>
          <w:rFonts w:ascii="Times New Roman" w:hAnsi="Times New Roman" w:cs="Times New Roman"/>
        </w:rPr>
        <w:t xml:space="preserve">. </w:t>
      </w:r>
      <w:proofErr w:type="gramStart"/>
      <w:r w:rsidR="00A318CA" w:rsidRPr="0002189F">
        <w:rPr>
          <w:rFonts w:ascii="Times New Roman" w:hAnsi="Times New Roman" w:cs="Times New Roman"/>
        </w:rPr>
        <w:t>Neskatoties uz to, ka</w:t>
      </w:r>
      <w:proofErr w:type="gramEnd"/>
      <w:r w:rsidR="00A318CA" w:rsidRPr="0002189F">
        <w:rPr>
          <w:rFonts w:ascii="Times New Roman" w:hAnsi="Times New Roman" w:cs="Times New Roman"/>
        </w:rPr>
        <w:t xml:space="preserve"> izziņas I sadaļas 31. punktā norādīts, ka Tieslietu ministrijas iebildums ņemts vērā, Tieslietu ministrijas 2021. gada 11. maija atzinuma 17. punktā izteiktie iebildumi nav ņemti vērā. Likumprojekta pašreizējā redakcija saistībā ar administratīvo sankciju un citu pasākumu regulējumu neatšķiras no likumprojekta iepriekšējās redakcijas. Iespējamie grozījumi citos likumos vai tamlīdzīgi apsvērumi </w:t>
      </w:r>
      <w:proofErr w:type="gramStart"/>
      <w:r w:rsidR="00A318CA" w:rsidRPr="0002189F">
        <w:rPr>
          <w:rFonts w:ascii="Times New Roman" w:hAnsi="Times New Roman" w:cs="Times New Roman"/>
        </w:rPr>
        <w:t>nav pamats</w:t>
      </w:r>
      <w:proofErr w:type="gramEnd"/>
      <w:r w:rsidR="00A318CA" w:rsidRPr="0002189F">
        <w:rPr>
          <w:rFonts w:ascii="Times New Roman" w:hAnsi="Times New Roman" w:cs="Times New Roman"/>
        </w:rPr>
        <w:t>, lai likumprojekta redakciju apzināti jau sākotnēji veidotu neatbilstošu Latvijas tiesību sistēmai.</w:t>
      </w:r>
    </w:p>
    <w:p w14:paraId="2A6DEF52" w14:textId="00BACEC0" w:rsidR="00D37E7A"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9</w:t>
      </w:r>
      <w:r w:rsidR="00D37E7A" w:rsidRPr="0002189F">
        <w:rPr>
          <w:rFonts w:ascii="Times New Roman" w:hAnsi="Times New Roman" w:cs="Times New Roman"/>
        </w:rPr>
        <w:t xml:space="preserve">.1. </w:t>
      </w:r>
      <w:r w:rsidR="00F435D8" w:rsidRPr="0002189F">
        <w:rPr>
          <w:rFonts w:ascii="Times New Roman" w:hAnsi="Times New Roman" w:cs="Times New Roman"/>
        </w:rPr>
        <w:t>Likump</w:t>
      </w:r>
      <w:r w:rsidR="00D37E7A" w:rsidRPr="0002189F">
        <w:rPr>
          <w:rFonts w:ascii="Times New Roman" w:hAnsi="Times New Roman" w:cs="Times New Roman"/>
        </w:rPr>
        <w:t xml:space="preserve">rojekta XII nodaļas nosaukums "Atbildība par normatīvo aktu pārkāpumiem" neatbilst nodaļas saturam. Pirmkārt,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69. panta pirmajā daļā ir minēti "lēmumu pārkāpumi", kas nav normatīvie akti. Otrkārt, </w:t>
      </w:r>
      <w:r w:rsidR="00F435D8" w:rsidRPr="0002189F">
        <w:rPr>
          <w:rFonts w:ascii="Times New Roman" w:hAnsi="Times New Roman" w:cs="Times New Roman"/>
        </w:rPr>
        <w:t>likum</w:t>
      </w:r>
      <w:r w:rsidR="00D37E7A" w:rsidRPr="0002189F">
        <w:rPr>
          <w:rFonts w:ascii="Times New Roman" w:hAnsi="Times New Roman" w:cs="Times New Roman"/>
        </w:rPr>
        <w:t>projekta 69. panta nosaukumā ir minēti "</w:t>
      </w:r>
      <w:proofErr w:type="gramStart"/>
      <w:r w:rsidR="00D37E7A" w:rsidRPr="0002189F">
        <w:rPr>
          <w:rFonts w:ascii="Times New Roman" w:hAnsi="Times New Roman" w:cs="Times New Roman"/>
        </w:rPr>
        <w:t>citi administratīvie pasākumi</w:t>
      </w:r>
      <w:proofErr w:type="gramEnd"/>
      <w:r w:rsidR="00D37E7A" w:rsidRPr="0002189F">
        <w:rPr>
          <w:rFonts w:ascii="Times New Roman" w:hAnsi="Times New Roman" w:cs="Times New Roman"/>
        </w:rPr>
        <w:t>". Nav saprotams, kas ir domāts ar šiem "</w:t>
      </w:r>
      <w:proofErr w:type="gramStart"/>
      <w:r w:rsidR="00D37E7A" w:rsidRPr="0002189F">
        <w:rPr>
          <w:rFonts w:ascii="Times New Roman" w:hAnsi="Times New Roman" w:cs="Times New Roman"/>
        </w:rPr>
        <w:t>citiem administratīvajiem pasākumiem</w:t>
      </w:r>
      <w:proofErr w:type="gramEnd"/>
      <w:r w:rsidR="00D37E7A" w:rsidRPr="0002189F">
        <w:rPr>
          <w:rFonts w:ascii="Times New Roman" w:hAnsi="Times New Roman" w:cs="Times New Roman"/>
        </w:rPr>
        <w:t xml:space="preserve">". Piemēram, ja tie ietver arī t. s. uzraudzības </w:t>
      </w:r>
      <w:r w:rsidR="00D37E7A" w:rsidRPr="0002189F">
        <w:rPr>
          <w:rFonts w:ascii="Times New Roman" w:hAnsi="Times New Roman" w:cs="Times New Roman"/>
        </w:rPr>
        <w:lastRenderedPageBreak/>
        <w:t xml:space="preserve">pasākumus, tad tie nav regulējami šajā nodaļā (uzraudzība un atbildība </w:t>
      </w:r>
      <w:proofErr w:type="gramStart"/>
      <w:r w:rsidR="00D37E7A" w:rsidRPr="0002189F">
        <w:rPr>
          <w:rFonts w:ascii="Times New Roman" w:hAnsi="Times New Roman" w:cs="Times New Roman"/>
        </w:rPr>
        <w:t>ir nošķirti</w:t>
      </w:r>
      <w:proofErr w:type="gramEnd"/>
      <w:r w:rsidR="00D37E7A" w:rsidRPr="0002189F">
        <w:rPr>
          <w:rFonts w:ascii="Times New Roman" w:hAnsi="Times New Roman" w:cs="Times New Roman"/>
        </w:rPr>
        <w:t xml:space="preserve">, patstāvīgi jautājumi; sk. arī </w:t>
      </w:r>
      <w:r w:rsidR="00F435D8" w:rsidRPr="0002189F">
        <w:rPr>
          <w:rFonts w:ascii="Times New Roman" w:hAnsi="Times New Roman" w:cs="Times New Roman"/>
        </w:rPr>
        <w:t>likum</w:t>
      </w:r>
      <w:r w:rsidR="00D37E7A" w:rsidRPr="0002189F">
        <w:rPr>
          <w:rFonts w:ascii="Times New Roman" w:hAnsi="Times New Roman" w:cs="Times New Roman"/>
        </w:rPr>
        <w:t>projekta VIII nodaļu).</w:t>
      </w:r>
    </w:p>
    <w:p w14:paraId="5682E53E" w14:textId="4593D695" w:rsidR="00D37E7A" w:rsidRPr="0002189F" w:rsidRDefault="00D37E7A"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Tādējādi </w:t>
      </w:r>
      <w:r w:rsidR="00F435D8" w:rsidRPr="0002189F">
        <w:rPr>
          <w:rFonts w:ascii="Times New Roman" w:hAnsi="Times New Roman" w:cs="Times New Roman"/>
        </w:rPr>
        <w:t>likum</w:t>
      </w:r>
      <w:r w:rsidRPr="0002189F">
        <w:rPr>
          <w:rFonts w:ascii="Times New Roman" w:hAnsi="Times New Roman" w:cs="Times New Roman"/>
        </w:rPr>
        <w:t>projekta XII nodaļas nosaukums varētu būt, piemēram, "Atbildība", ievērojot to, ka šajā nodaļā netiktu regulēti uzraudzības jautājumi.</w:t>
      </w:r>
    </w:p>
    <w:p w14:paraId="42D5A710" w14:textId="2A0C17A7" w:rsidR="00D37E7A" w:rsidRPr="0002189F" w:rsidRDefault="00D37E7A"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Vienlaikus nepieciešams norobežot sankcijas un minētos "</w:t>
      </w:r>
      <w:proofErr w:type="gramStart"/>
      <w:r w:rsidRPr="0002189F">
        <w:rPr>
          <w:rFonts w:ascii="Times New Roman" w:hAnsi="Times New Roman" w:cs="Times New Roman"/>
        </w:rPr>
        <w:t>citus administratīvos pasākumus</w:t>
      </w:r>
      <w:proofErr w:type="gramEnd"/>
      <w:r w:rsidRPr="0002189F">
        <w:rPr>
          <w:rFonts w:ascii="Times New Roman" w:hAnsi="Times New Roman" w:cs="Times New Roman"/>
        </w:rPr>
        <w:t>", ietverot atbilstošu skaidrojumu anotācijā.</w:t>
      </w:r>
    </w:p>
    <w:p w14:paraId="0569EC19" w14:textId="26491468" w:rsidR="00D37E7A"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9</w:t>
      </w:r>
      <w:r w:rsidR="00D37E7A" w:rsidRPr="0002189F">
        <w:rPr>
          <w:rFonts w:ascii="Times New Roman" w:hAnsi="Times New Roman" w:cs="Times New Roman"/>
        </w:rPr>
        <w:t xml:space="preserve">.2. Atbildības (sankciju) regulējums ir paredzēts arī ārpus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XII nodaļas. Piemēram,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16. pantā paredzēti licences anulēšanas gadījumi (panta nosaukums gan šķietami vēsta, ka regulējums attiecas uz anulēšanas procesu jeb kārtību). Daļa no šiem gadījumiem varētu būt sodoša rakstura administratīvās sankcijas (sk.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16. panta pirmās daļas 4. un 5. punktu). Līdzīgi apsvērumi attiecas arī uz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23. pantu. Tāpat sankciju piemērošanas regulējums ir ietverts </w:t>
      </w:r>
      <w:r w:rsidR="00F435D8" w:rsidRPr="0002189F">
        <w:rPr>
          <w:rFonts w:ascii="Times New Roman" w:hAnsi="Times New Roman" w:cs="Times New Roman"/>
        </w:rPr>
        <w:t>likum</w:t>
      </w:r>
      <w:r w:rsidR="00D37E7A" w:rsidRPr="0002189F">
        <w:rPr>
          <w:rFonts w:ascii="Times New Roman" w:hAnsi="Times New Roman" w:cs="Times New Roman"/>
        </w:rPr>
        <w:t>projekta 65. pantā</w:t>
      </w:r>
    </w:p>
    <w:p w14:paraId="2CF425C7" w14:textId="4177C6DF" w:rsidR="00D37E7A" w:rsidRPr="0002189F" w:rsidRDefault="00D37E7A" w:rsidP="0002189F">
      <w:pPr>
        <w:spacing w:after="0" w:line="23" w:lineRule="atLeast"/>
        <w:ind w:firstLine="567"/>
        <w:jc w:val="both"/>
        <w:rPr>
          <w:rFonts w:ascii="Times New Roman" w:hAnsi="Times New Roman" w:cs="Times New Roman"/>
        </w:rPr>
      </w:pPr>
      <w:r w:rsidRPr="0002189F">
        <w:rPr>
          <w:rFonts w:ascii="Times New Roman" w:hAnsi="Times New Roman" w:cs="Times New Roman"/>
        </w:rPr>
        <w:t xml:space="preserve">Līdz ar to </w:t>
      </w:r>
      <w:r w:rsidR="00F435D8" w:rsidRPr="0002189F">
        <w:rPr>
          <w:rFonts w:ascii="Times New Roman" w:hAnsi="Times New Roman" w:cs="Times New Roman"/>
        </w:rPr>
        <w:t>likum</w:t>
      </w:r>
      <w:r w:rsidRPr="0002189F">
        <w:rPr>
          <w:rFonts w:ascii="Times New Roman" w:hAnsi="Times New Roman" w:cs="Times New Roman"/>
        </w:rPr>
        <w:t>projekta XII nodaļa nesatur visu atbildības regulējumu. Saskaņā ar noteikumu Nr. 108 17. punktu nodaļā apvieno visus pantus, kas attiecas uz vienu regulējamo jautājumu.</w:t>
      </w:r>
    </w:p>
    <w:p w14:paraId="1892AA4A" w14:textId="2E423EC1" w:rsidR="00D37E7A" w:rsidRPr="0002189F" w:rsidRDefault="00F70DF1" w:rsidP="0002189F">
      <w:pPr>
        <w:spacing w:after="0" w:line="23" w:lineRule="atLeast"/>
        <w:ind w:firstLine="567"/>
        <w:jc w:val="both"/>
        <w:rPr>
          <w:rFonts w:ascii="Times New Roman" w:hAnsi="Times New Roman" w:cs="Times New Roman"/>
        </w:rPr>
      </w:pPr>
      <w:r>
        <w:rPr>
          <w:rFonts w:ascii="Times New Roman" w:hAnsi="Times New Roman" w:cs="Times New Roman"/>
        </w:rPr>
        <w:t>9</w:t>
      </w:r>
      <w:r w:rsidR="00D37E7A" w:rsidRPr="0002189F">
        <w:rPr>
          <w:rFonts w:ascii="Times New Roman" w:hAnsi="Times New Roman" w:cs="Times New Roman"/>
        </w:rPr>
        <w:t xml:space="preserve">.3. Nav skaidri iespējamie sankciju veidi un to piemērošanas gadījumi. Sankcijas šķietami ir regulētas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69. pantā. Tomēr skatoties kopsakarā, piemēram, ar </w:t>
      </w:r>
      <w:r w:rsidR="00F435D8" w:rsidRPr="0002189F">
        <w:rPr>
          <w:rFonts w:ascii="Times New Roman" w:hAnsi="Times New Roman" w:cs="Times New Roman"/>
        </w:rPr>
        <w:t>likum</w:t>
      </w:r>
      <w:r w:rsidR="00D37E7A" w:rsidRPr="0002189F">
        <w:rPr>
          <w:rFonts w:ascii="Times New Roman" w:hAnsi="Times New Roman" w:cs="Times New Roman"/>
        </w:rPr>
        <w:t xml:space="preserve">projekta 68. panta trešo daļu, pastāv šaubas, vai </w:t>
      </w:r>
      <w:r w:rsidR="00F435D8" w:rsidRPr="0002189F">
        <w:rPr>
          <w:rFonts w:ascii="Times New Roman" w:hAnsi="Times New Roman" w:cs="Times New Roman"/>
        </w:rPr>
        <w:t>likum</w:t>
      </w:r>
      <w:r w:rsidR="00D37E7A" w:rsidRPr="0002189F">
        <w:rPr>
          <w:rFonts w:ascii="Times New Roman" w:hAnsi="Times New Roman" w:cs="Times New Roman"/>
        </w:rPr>
        <w:t xml:space="preserve">projektā 69. pantā minētais sankciju uzskaitījums ir izsmeļošs. </w:t>
      </w:r>
    </w:p>
    <w:p w14:paraId="4D9B9F9D" w14:textId="60DCAB95"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 xml:space="preserve">Turklāt arī </w:t>
      </w:r>
      <w:r w:rsidR="00F435D8" w:rsidRPr="0002189F">
        <w:rPr>
          <w:rFonts w:ascii="Times New Roman" w:hAnsi="Times New Roman" w:cs="Times New Roman"/>
          <w:bCs/>
        </w:rPr>
        <w:t>likum</w:t>
      </w:r>
      <w:r w:rsidRPr="0002189F">
        <w:rPr>
          <w:rFonts w:ascii="Times New Roman" w:hAnsi="Times New Roman" w:cs="Times New Roman"/>
          <w:bCs/>
        </w:rPr>
        <w:t xml:space="preserve">projekta 70. pantā minētā sankciju un </w:t>
      </w:r>
      <w:proofErr w:type="gramStart"/>
      <w:r w:rsidRPr="0002189F">
        <w:rPr>
          <w:rFonts w:ascii="Times New Roman" w:hAnsi="Times New Roman" w:cs="Times New Roman"/>
          <w:bCs/>
        </w:rPr>
        <w:t>citu administratīvo pasākumu</w:t>
      </w:r>
      <w:proofErr w:type="gramEnd"/>
      <w:r w:rsidRPr="0002189F">
        <w:rPr>
          <w:rFonts w:ascii="Times New Roman" w:hAnsi="Times New Roman" w:cs="Times New Roman"/>
          <w:bCs/>
        </w:rPr>
        <w:t xml:space="preserve"> publicēšana var būt patstāvīga administratīvā sankcija. Tas, vai šādai sankcijai piemīt krimināltiesisks jeb sodošs raksturs, ir diskutabls jautājums </w:t>
      </w:r>
      <w:proofErr w:type="gramStart"/>
      <w:r w:rsidRPr="0002189F">
        <w:rPr>
          <w:rFonts w:ascii="Times New Roman" w:hAnsi="Times New Roman" w:cs="Times New Roman"/>
          <w:bCs/>
        </w:rPr>
        <w:t>(</w:t>
      </w:r>
      <w:proofErr w:type="gramEnd"/>
      <w:r w:rsidRPr="0002189F">
        <w:rPr>
          <w:rFonts w:ascii="Times New Roman" w:hAnsi="Times New Roman" w:cs="Times New Roman"/>
          <w:bCs/>
          <w:i/>
          <w:iCs/>
        </w:rPr>
        <w:t xml:space="preserve">sal. </w:t>
      </w:r>
      <w:proofErr w:type="spellStart"/>
      <w:r w:rsidRPr="0002189F">
        <w:rPr>
          <w:rFonts w:ascii="Times New Roman" w:hAnsi="Times New Roman" w:cs="Times New Roman"/>
          <w:bCs/>
          <w:i/>
          <w:iCs/>
        </w:rPr>
        <w:t>Jansen</w:t>
      </w:r>
      <w:proofErr w:type="spellEnd"/>
      <w:r w:rsidRPr="0002189F">
        <w:rPr>
          <w:rFonts w:ascii="Times New Roman" w:hAnsi="Times New Roman" w:cs="Times New Roman"/>
          <w:bCs/>
          <w:i/>
          <w:iCs/>
        </w:rPr>
        <w:t xml:space="preserve"> O. </w:t>
      </w:r>
      <w:proofErr w:type="spellStart"/>
      <w:r w:rsidRPr="0002189F">
        <w:rPr>
          <w:rFonts w:ascii="Times New Roman" w:hAnsi="Times New Roman" w:cs="Times New Roman"/>
          <w:bCs/>
          <w:i/>
          <w:iCs/>
        </w:rPr>
        <w:t>Country</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Analysis</w:t>
      </w:r>
      <w:proofErr w:type="spellEnd"/>
      <w:r w:rsidRPr="0002189F">
        <w:rPr>
          <w:rFonts w:ascii="Times New Roman" w:hAnsi="Times New Roman" w:cs="Times New Roman"/>
          <w:bCs/>
          <w:i/>
          <w:iCs/>
        </w:rPr>
        <w:t xml:space="preserve"> – </w:t>
      </w:r>
      <w:proofErr w:type="spellStart"/>
      <w:r w:rsidRPr="0002189F">
        <w:rPr>
          <w:rFonts w:ascii="Times New Roman" w:hAnsi="Times New Roman" w:cs="Times New Roman"/>
          <w:bCs/>
          <w:i/>
          <w:iCs/>
        </w:rPr>
        <w:t>The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Netherlands</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In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Administrative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Sanctions</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in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the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European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Union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Jansen</w:t>
      </w:r>
      <w:proofErr w:type="spellEnd"/>
      <w:r w:rsidRPr="0002189F">
        <w:rPr>
          <w:rFonts w:ascii="Times New Roman" w:hAnsi="Times New Roman" w:cs="Times New Roman"/>
          <w:bCs/>
          <w:i/>
          <w:iCs/>
        </w:rPr>
        <w:t xml:space="preserve"> O. (</w:t>
      </w:r>
      <w:proofErr w:type="spellStart"/>
      <w:r w:rsidRPr="0002189F">
        <w:rPr>
          <w:rFonts w:ascii="Times New Roman" w:hAnsi="Times New Roman" w:cs="Times New Roman"/>
          <w:bCs/>
          <w:i/>
          <w:iCs/>
        </w:rPr>
        <w:t>Ed</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Cambridge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Intersentia</w:t>
      </w:r>
      <w:proofErr w:type="spellEnd"/>
      <w:r w:rsidRPr="0002189F">
        <w:rPr>
          <w:rFonts w:ascii="Times New Roman" w:hAnsi="Times New Roman" w:cs="Times New Roman"/>
          <w:bCs/>
          <w:i/>
          <w:iCs/>
        </w:rPr>
        <w:t>, 2013, p. 323-243</w:t>
      </w:r>
      <w:r w:rsidRPr="0002189F">
        <w:rPr>
          <w:rFonts w:ascii="Times New Roman" w:hAnsi="Times New Roman" w:cs="Times New Roman"/>
          <w:bCs/>
        </w:rPr>
        <w:t xml:space="preserve">), un tās raksturs būtu vērtējams atsevišķi. Tomēr, ievērojot publicēšanas iespējamo mērķi un ietekmi uz personas reputāciju, kā arī citu finanšu tirgus jomas regulējumu, pirmšķietami pastāv vairāki argumenti, kas liecina, ka informācijas publiskošana arī ir sodoša rakstura administratīva sankcija. Šobrīd publisks paziņojums ir minēts gan </w:t>
      </w:r>
      <w:r w:rsidR="00F435D8" w:rsidRPr="0002189F">
        <w:rPr>
          <w:rFonts w:ascii="Times New Roman" w:hAnsi="Times New Roman" w:cs="Times New Roman"/>
          <w:bCs/>
        </w:rPr>
        <w:t>likum</w:t>
      </w:r>
      <w:r w:rsidRPr="0002189F">
        <w:rPr>
          <w:rFonts w:ascii="Times New Roman" w:hAnsi="Times New Roman" w:cs="Times New Roman"/>
          <w:bCs/>
        </w:rPr>
        <w:t xml:space="preserve">projekta 69. pantā, gan mazliet atšķirīgi regulēts vēl atsevišķi </w:t>
      </w:r>
      <w:r w:rsidR="00F435D8" w:rsidRPr="0002189F">
        <w:rPr>
          <w:rFonts w:ascii="Times New Roman" w:hAnsi="Times New Roman" w:cs="Times New Roman"/>
          <w:bCs/>
        </w:rPr>
        <w:t>likum</w:t>
      </w:r>
      <w:r w:rsidRPr="0002189F">
        <w:rPr>
          <w:rFonts w:ascii="Times New Roman" w:hAnsi="Times New Roman" w:cs="Times New Roman"/>
          <w:bCs/>
        </w:rPr>
        <w:t>projekta 70. pantā.</w:t>
      </w:r>
    </w:p>
    <w:p w14:paraId="26206362" w14:textId="09448932"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 xml:space="preserve">Līdz ar to nepieciešams anotācijā izvērtēt un </w:t>
      </w:r>
      <w:r w:rsidR="00F435D8" w:rsidRPr="0002189F">
        <w:rPr>
          <w:rFonts w:ascii="Times New Roman" w:hAnsi="Times New Roman" w:cs="Times New Roman"/>
          <w:bCs/>
        </w:rPr>
        <w:t>likum</w:t>
      </w:r>
      <w:r w:rsidRPr="0002189F">
        <w:rPr>
          <w:rFonts w:ascii="Times New Roman" w:hAnsi="Times New Roman" w:cs="Times New Roman"/>
          <w:bCs/>
        </w:rPr>
        <w:t>projektā skaidri un izsmeļoši norādīt, kuri pasākumi ir krimināltiesiska (sodoša) rakstura administratīvās sankcijas.</w:t>
      </w:r>
    </w:p>
    <w:p w14:paraId="43917FFE" w14:textId="77777777"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 xml:space="preserve">Vienlaikus lūdzam anotācijā iekļaut pamatojumu, ka informācijas saturs un ievietošanas mājaslapā (tīmekļa vietnē) kārtība atbilst nevainīguma prezumpcijai </w:t>
      </w:r>
      <w:proofErr w:type="gramStart"/>
      <w:r w:rsidRPr="0002189F">
        <w:rPr>
          <w:rFonts w:ascii="Times New Roman" w:hAnsi="Times New Roman" w:cs="Times New Roman"/>
          <w:bCs/>
        </w:rPr>
        <w:t>(</w:t>
      </w:r>
      <w:proofErr w:type="gramEnd"/>
      <w:r w:rsidRPr="0002189F">
        <w:rPr>
          <w:rFonts w:ascii="Times New Roman" w:hAnsi="Times New Roman" w:cs="Times New Roman"/>
          <w:bCs/>
          <w:i/>
          <w:iCs/>
        </w:rPr>
        <w:t xml:space="preserve">sal. </w:t>
      </w:r>
      <w:proofErr w:type="spellStart"/>
      <w:r w:rsidRPr="0002189F">
        <w:rPr>
          <w:rFonts w:ascii="Times New Roman" w:hAnsi="Times New Roman" w:cs="Times New Roman"/>
          <w:bCs/>
          <w:i/>
          <w:iCs/>
        </w:rPr>
        <w:t>Pfaeltzer</w:t>
      </w:r>
      <w:proofErr w:type="spellEnd"/>
      <w:r w:rsidRPr="0002189F">
        <w:rPr>
          <w:rFonts w:ascii="Times New Roman" w:hAnsi="Times New Roman" w:cs="Times New Roman"/>
          <w:bCs/>
          <w:i/>
          <w:iCs/>
        </w:rPr>
        <w:t xml:space="preserve"> J. J. W. </w:t>
      </w:r>
      <w:proofErr w:type="spellStart"/>
      <w:r w:rsidRPr="0002189F">
        <w:rPr>
          <w:rFonts w:ascii="Times New Roman" w:hAnsi="Times New Roman" w:cs="Times New Roman"/>
          <w:bCs/>
          <w:i/>
          <w:iCs/>
        </w:rPr>
        <w:t>Naming</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and</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Shaming</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in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Financial</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Market</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Regulations</w:t>
      </w:r>
      <w:proofErr w:type="spellEnd"/>
      <w:r w:rsidRPr="0002189F">
        <w:rPr>
          <w:rFonts w:ascii="Times New Roman" w:hAnsi="Times New Roman" w:cs="Times New Roman"/>
          <w:bCs/>
          <w:i/>
          <w:iCs/>
        </w:rPr>
        <w:t xml:space="preserve">: A </w:t>
      </w:r>
      <w:proofErr w:type="spellStart"/>
      <w:r w:rsidRPr="0002189F">
        <w:rPr>
          <w:rFonts w:ascii="Times New Roman" w:hAnsi="Times New Roman" w:cs="Times New Roman"/>
          <w:bCs/>
          <w:i/>
          <w:iCs/>
        </w:rPr>
        <w:t>Violation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of</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the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Presumption</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of</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Innocence</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Utrecht</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Law</w:t>
      </w:r>
      <w:proofErr w:type="spellEnd"/>
      <w:r w:rsidRPr="0002189F">
        <w:rPr>
          <w:rFonts w:ascii="Times New Roman" w:hAnsi="Times New Roman" w:cs="Times New Roman"/>
          <w:bCs/>
          <w:i/>
          <w:iCs/>
        </w:rPr>
        <w:t xml:space="preserve"> </w:t>
      </w:r>
      <w:proofErr w:type="spellStart"/>
      <w:r w:rsidRPr="0002189F">
        <w:rPr>
          <w:rFonts w:ascii="Times New Roman" w:hAnsi="Times New Roman" w:cs="Times New Roman"/>
          <w:bCs/>
          <w:i/>
          <w:iCs/>
        </w:rPr>
        <w:t>Review</w:t>
      </w:r>
      <w:proofErr w:type="spellEnd"/>
      <w:r w:rsidRPr="0002189F">
        <w:rPr>
          <w:rFonts w:ascii="Times New Roman" w:hAnsi="Times New Roman" w:cs="Times New Roman"/>
          <w:bCs/>
          <w:i/>
          <w:iCs/>
        </w:rPr>
        <w:t xml:space="preserve">, 2014, </w:t>
      </w:r>
      <w:proofErr w:type="spellStart"/>
      <w:r w:rsidRPr="0002189F">
        <w:rPr>
          <w:rFonts w:ascii="Times New Roman" w:hAnsi="Times New Roman" w:cs="Times New Roman"/>
          <w:bCs/>
          <w:i/>
          <w:iCs/>
        </w:rPr>
        <w:t>Vol</w:t>
      </w:r>
      <w:proofErr w:type="spellEnd"/>
      <w:r w:rsidRPr="0002189F">
        <w:rPr>
          <w:rFonts w:ascii="Times New Roman" w:hAnsi="Times New Roman" w:cs="Times New Roman"/>
          <w:bCs/>
          <w:i/>
          <w:iCs/>
        </w:rPr>
        <w:t xml:space="preserve">. 10, </w:t>
      </w:r>
      <w:proofErr w:type="spellStart"/>
      <w:r w:rsidRPr="0002189F">
        <w:rPr>
          <w:rFonts w:ascii="Times New Roman" w:hAnsi="Times New Roman" w:cs="Times New Roman"/>
          <w:bCs/>
          <w:i/>
          <w:iCs/>
        </w:rPr>
        <w:t>Iss</w:t>
      </w:r>
      <w:proofErr w:type="spellEnd"/>
      <w:r w:rsidRPr="0002189F">
        <w:rPr>
          <w:rFonts w:ascii="Times New Roman" w:hAnsi="Times New Roman" w:cs="Times New Roman"/>
          <w:bCs/>
          <w:i/>
          <w:iCs/>
        </w:rPr>
        <w:t>. 1, p. 134-148</w:t>
      </w:r>
      <w:r w:rsidRPr="0002189F">
        <w:rPr>
          <w:rFonts w:ascii="Times New Roman" w:hAnsi="Times New Roman" w:cs="Times New Roman"/>
          <w:bCs/>
        </w:rPr>
        <w:t>).</w:t>
      </w:r>
    </w:p>
    <w:p w14:paraId="7ABE77A5" w14:textId="53A329A1" w:rsidR="00D37E7A" w:rsidRPr="0002189F" w:rsidRDefault="00F70DF1" w:rsidP="0002189F">
      <w:pPr>
        <w:spacing w:after="0" w:line="23" w:lineRule="atLeast"/>
        <w:ind w:firstLine="567"/>
        <w:jc w:val="both"/>
        <w:rPr>
          <w:rFonts w:ascii="Times New Roman" w:hAnsi="Times New Roman" w:cs="Times New Roman"/>
          <w:bCs/>
        </w:rPr>
      </w:pPr>
      <w:r>
        <w:rPr>
          <w:rFonts w:ascii="Times New Roman" w:hAnsi="Times New Roman" w:cs="Times New Roman"/>
          <w:bCs/>
        </w:rPr>
        <w:t>9</w:t>
      </w:r>
      <w:r w:rsidR="00D37E7A" w:rsidRPr="0002189F">
        <w:rPr>
          <w:rFonts w:ascii="Times New Roman" w:hAnsi="Times New Roman" w:cs="Times New Roman"/>
          <w:bCs/>
        </w:rPr>
        <w:t xml:space="preserve">.4. </w:t>
      </w:r>
      <w:r w:rsidR="00F435D8" w:rsidRPr="0002189F">
        <w:rPr>
          <w:rFonts w:ascii="Times New Roman" w:hAnsi="Times New Roman" w:cs="Times New Roman"/>
          <w:bCs/>
        </w:rPr>
        <w:t>Likump</w:t>
      </w:r>
      <w:r w:rsidR="00D37E7A" w:rsidRPr="0002189F">
        <w:rPr>
          <w:rFonts w:ascii="Times New Roman" w:hAnsi="Times New Roman" w:cs="Times New Roman"/>
          <w:bCs/>
        </w:rPr>
        <w:t>rojekta 69. pantā paredzēts, ka sankcijas un citus administratīvos pasākumus ir tiesības piemērot "par šā likuma, Regulas Nr. 2019/2033, Regulas</w:t>
      </w:r>
      <w:proofErr w:type="gramStart"/>
      <w:r w:rsidR="00D37E7A" w:rsidRPr="0002189F">
        <w:rPr>
          <w:rFonts w:ascii="Times New Roman" w:hAnsi="Times New Roman" w:cs="Times New Roman"/>
          <w:bCs/>
        </w:rPr>
        <w:t xml:space="preserve">  </w:t>
      </w:r>
      <w:proofErr w:type="gramEnd"/>
      <w:r w:rsidR="00D37E7A" w:rsidRPr="0002189F">
        <w:rPr>
          <w:rFonts w:ascii="Times New Roman" w:hAnsi="Times New Roman" w:cs="Times New Roman"/>
          <w:bCs/>
        </w:rPr>
        <w:t xml:space="preserve">Nr. 575/2013 28., 52. vai 63. panta pārkāpumiem, kā arī Komisijas izdoto normatīvo noteikumu vai pieņemto lēmumu pārkāpumiem". Sistēmiski skatoties, secināms, ka </w:t>
      </w:r>
      <w:r w:rsidR="00F435D8" w:rsidRPr="0002189F">
        <w:rPr>
          <w:rFonts w:ascii="Times New Roman" w:hAnsi="Times New Roman" w:cs="Times New Roman"/>
          <w:bCs/>
        </w:rPr>
        <w:t>likum</w:t>
      </w:r>
      <w:r w:rsidR="00D37E7A" w:rsidRPr="0002189F">
        <w:rPr>
          <w:rFonts w:ascii="Times New Roman" w:hAnsi="Times New Roman" w:cs="Times New Roman"/>
          <w:bCs/>
        </w:rPr>
        <w:t>projekta 69. panta pirmā daļa nav tikai iespējamo sankciju uzskaitījums, bet ietver arī iespējamo pārkāpumu uzskaitījumu.</w:t>
      </w:r>
    </w:p>
    <w:p w14:paraId="7800F990" w14:textId="77777777" w:rsidR="00D37E7A" w:rsidRPr="0002189F" w:rsidRDefault="00D37E7A" w:rsidP="0002189F">
      <w:pPr>
        <w:spacing w:after="0" w:line="23" w:lineRule="atLeast"/>
        <w:ind w:firstLine="567"/>
        <w:jc w:val="both"/>
        <w:rPr>
          <w:rFonts w:ascii="Times New Roman" w:hAnsi="Times New Roman" w:cs="Times New Roman"/>
          <w:bCs/>
          <w:iCs/>
        </w:rPr>
      </w:pPr>
      <w:r w:rsidRPr="0002189F">
        <w:rPr>
          <w:rFonts w:ascii="Times New Roman" w:hAnsi="Times New Roman" w:cs="Times New Roman"/>
          <w:bCs/>
          <w:iCs/>
        </w:rPr>
        <w:t>Tā kā šajā pantā daļā ir paredzētas krimināltiesiska (sodoša) rakstura sankcijas, tad pārkāpumi definējami, ievērojot sodu tiesībās valdošos principus un kritērijus.</w:t>
      </w:r>
    </w:p>
    <w:p w14:paraId="5872F6A2" w14:textId="77777777" w:rsidR="00D37E7A" w:rsidRPr="0002189F" w:rsidRDefault="00D37E7A" w:rsidP="0002189F">
      <w:pPr>
        <w:spacing w:after="0" w:line="23" w:lineRule="atLeast"/>
        <w:ind w:firstLine="567"/>
        <w:jc w:val="both"/>
        <w:rPr>
          <w:rFonts w:ascii="Times New Roman" w:hAnsi="Times New Roman" w:cs="Times New Roman"/>
          <w:bCs/>
          <w:iCs/>
        </w:rPr>
      </w:pPr>
      <w:r w:rsidRPr="0002189F">
        <w:rPr>
          <w:rFonts w:ascii="Times New Roman" w:hAnsi="Times New Roman" w:cs="Times New Roman"/>
          <w:bCs/>
          <w:iCs/>
        </w:rPr>
        <w:t>Atbildību noteicošas normas nevar atzīt par neskaidrām tāpēc vien, ka to saturs noskaidrojams, pamatojoties uz citām tiesību normām vai normatīvajiem aktiem (</w:t>
      </w:r>
      <w:r w:rsidRPr="0002189F">
        <w:rPr>
          <w:rFonts w:ascii="Times New Roman" w:hAnsi="Times New Roman" w:cs="Times New Roman"/>
          <w:bCs/>
          <w:i/>
        </w:rPr>
        <w:t>sal. Satversmes tiesas 19.02.2021. sprieduma lietā Nr. 2020-23-01 15. punkts</w:t>
      </w:r>
      <w:r w:rsidRPr="0002189F">
        <w:rPr>
          <w:rFonts w:ascii="Times New Roman" w:hAnsi="Times New Roman" w:cs="Times New Roman"/>
          <w:bCs/>
          <w:iCs/>
        </w:rPr>
        <w:t xml:space="preserve">). Izmantojot </w:t>
      </w:r>
      <w:proofErr w:type="spellStart"/>
      <w:r w:rsidRPr="0002189F">
        <w:rPr>
          <w:rFonts w:ascii="Times New Roman" w:hAnsi="Times New Roman" w:cs="Times New Roman"/>
          <w:bCs/>
          <w:iCs/>
        </w:rPr>
        <w:t>blanketo</w:t>
      </w:r>
      <w:proofErr w:type="spellEnd"/>
      <w:r w:rsidRPr="0002189F">
        <w:rPr>
          <w:rFonts w:ascii="Times New Roman" w:hAnsi="Times New Roman" w:cs="Times New Roman"/>
          <w:bCs/>
          <w:iCs/>
        </w:rPr>
        <w:t xml:space="preserve"> normu, likumdevējs formulē vispārinātu pazīmi, kas kopā ar citās normās noteikto šīs pazīmes detalizāciju veido pārkāpumu. Tomēr jāievēro, ka arī </w:t>
      </w:r>
      <w:proofErr w:type="spellStart"/>
      <w:r w:rsidRPr="0002189F">
        <w:rPr>
          <w:rFonts w:ascii="Times New Roman" w:hAnsi="Times New Roman" w:cs="Times New Roman"/>
          <w:bCs/>
          <w:iCs/>
        </w:rPr>
        <w:t>blanketā</w:t>
      </w:r>
      <w:proofErr w:type="spellEnd"/>
      <w:r w:rsidRPr="0002189F">
        <w:rPr>
          <w:rFonts w:ascii="Times New Roman" w:hAnsi="Times New Roman" w:cs="Times New Roman"/>
          <w:bCs/>
          <w:iCs/>
        </w:rPr>
        <w:t xml:space="preserve"> norma definē visas pārkāpuma pazīmes, vienīgi daļu no šīm pazīmēm sīkāk konkretizē citas normas </w:t>
      </w:r>
      <w:proofErr w:type="gramStart"/>
      <w:r w:rsidRPr="0002189F">
        <w:rPr>
          <w:rFonts w:ascii="Times New Roman" w:hAnsi="Times New Roman" w:cs="Times New Roman"/>
          <w:bCs/>
          <w:iCs/>
        </w:rPr>
        <w:t>(</w:t>
      </w:r>
      <w:proofErr w:type="gramEnd"/>
      <w:r w:rsidRPr="0002189F">
        <w:rPr>
          <w:rFonts w:ascii="Times New Roman" w:hAnsi="Times New Roman" w:cs="Times New Roman"/>
          <w:bCs/>
          <w:i/>
        </w:rPr>
        <w:t>sal. Leja M. Krimināltiesību aktuālie jautājumi un to risinājumi Latvijā, Austrijā, Šveicē, Vācijā. Noziedzīga nodarījuma uzbūve; cēloņsakarība; vaina; krimināltiesību normu interpretācija un spēks laikā. I daļa. Rīga: Tiesu namu aģentūra, 2019, 95.-96. lpp.</w:t>
      </w:r>
      <w:r w:rsidRPr="0002189F">
        <w:rPr>
          <w:rFonts w:ascii="Times New Roman" w:hAnsi="Times New Roman" w:cs="Times New Roman"/>
          <w:bCs/>
          <w:iCs/>
        </w:rPr>
        <w:t>).</w:t>
      </w:r>
    </w:p>
    <w:p w14:paraId="4D6C7F4A" w14:textId="6D73CF6C"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Ievērojot minēto, norāde uz likuma vai normatīvo noteikumu pārkāpumiem</w:t>
      </w:r>
      <w:proofErr w:type="gramStart"/>
      <w:r w:rsidRPr="0002189F">
        <w:rPr>
          <w:rFonts w:ascii="Times New Roman" w:hAnsi="Times New Roman" w:cs="Times New Roman"/>
          <w:bCs/>
        </w:rPr>
        <w:t xml:space="preserve"> visticamāk</w:t>
      </w:r>
      <w:proofErr w:type="gramEnd"/>
      <w:r w:rsidRPr="0002189F">
        <w:rPr>
          <w:rFonts w:ascii="Times New Roman" w:hAnsi="Times New Roman" w:cs="Times New Roman"/>
          <w:bCs/>
        </w:rPr>
        <w:t xml:space="preserve"> neatbilst pārkāpumu definēšanas prasībām. Tā neļauj personai pietiekami noteikti paredzēt, kāda veida rīcība ir sodāma. Šajā gadījumā </w:t>
      </w:r>
      <w:r w:rsidR="00F435D8" w:rsidRPr="0002189F">
        <w:rPr>
          <w:rFonts w:ascii="Times New Roman" w:hAnsi="Times New Roman" w:cs="Times New Roman"/>
          <w:bCs/>
        </w:rPr>
        <w:t>likum</w:t>
      </w:r>
      <w:r w:rsidRPr="0002189F">
        <w:rPr>
          <w:rFonts w:ascii="Times New Roman" w:hAnsi="Times New Roman" w:cs="Times New Roman"/>
          <w:bCs/>
        </w:rPr>
        <w:t xml:space="preserve">projekta 69. panta pirmajā daļā ir norādītas arī konkrētas regulu vienības. Tādējādi pārkāpumu formulējums ir salīdzinoši precīzāks </w:t>
      </w:r>
      <w:r w:rsidRPr="0002189F">
        <w:rPr>
          <w:rFonts w:ascii="Times New Roman" w:hAnsi="Times New Roman" w:cs="Times New Roman"/>
          <w:bCs/>
        </w:rPr>
        <w:lastRenderedPageBreak/>
        <w:t xml:space="preserve">(salīdzinot ar "šā likuma pārkāpumiem"), tomēr </w:t>
      </w:r>
      <w:r w:rsidR="00F435D8" w:rsidRPr="0002189F">
        <w:rPr>
          <w:rFonts w:ascii="Times New Roman" w:hAnsi="Times New Roman" w:cs="Times New Roman"/>
          <w:bCs/>
        </w:rPr>
        <w:t>likum</w:t>
      </w:r>
      <w:r w:rsidRPr="0002189F">
        <w:rPr>
          <w:rFonts w:ascii="Times New Roman" w:hAnsi="Times New Roman" w:cs="Times New Roman"/>
          <w:bCs/>
        </w:rPr>
        <w:t xml:space="preserve">projektā ietvertais pārkāpuma apraksts vispār nesatur pārkāpuma pazīmes. Arī no juridiskās tehniskas viedokļa atsauču lietojumam jābūt tādam, lai </w:t>
      </w:r>
      <w:r w:rsidR="00F435D8" w:rsidRPr="0002189F">
        <w:rPr>
          <w:rFonts w:ascii="Times New Roman" w:hAnsi="Times New Roman" w:cs="Times New Roman"/>
          <w:bCs/>
        </w:rPr>
        <w:t>likum</w:t>
      </w:r>
      <w:r w:rsidRPr="0002189F">
        <w:rPr>
          <w:rFonts w:ascii="Times New Roman" w:hAnsi="Times New Roman" w:cs="Times New Roman"/>
          <w:bCs/>
        </w:rPr>
        <w:t xml:space="preserve">projekta regulējumu varētu vispārīgi saprast, neizlasot atsaucē norādīto </w:t>
      </w:r>
      <w:proofErr w:type="gramStart"/>
      <w:r w:rsidRPr="0002189F">
        <w:rPr>
          <w:rFonts w:ascii="Times New Roman" w:hAnsi="Times New Roman" w:cs="Times New Roman"/>
          <w:bCs/>
        </w:rPr>
        <w:t>cita normatīvā akta</w:t>
      </w:r>
      <w:proofErr w:type="gramEnd"/>
      <w:r w:rsidRPr="0002189F">
        <w:rPr>
          <w:rFonts w:ascii="Times New Roman" w:hAnsi="Times New Roman" w:cs="Times New Roman"/>
          <w:bCs/>
        </w:rPr>
        <w:t xml:space="preserve"> vienību.</w:t>
      </w:r>
    </w:p>
    <w:p w14:paraId="565C1CF0" w14:textId="24393BF3"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 xml:space="preserve">Ievērojot minēto, nepieciešams precizēt </w:t>
      </w:r>
      <w:r w:rsidR="00F435D8" w:rsidRPr="0002189F">
        <w:rPr>
          <w:rFonts w:ascii="Times New Roman" w:hAnsi="Times New Roman" w:cs="Times New Roman"/>
          <w:bCs/>
        </w:rPr>
        <w:t>likum</w:t>
      </w:r>
      <w:r w:rsidRPr="0002189F">
        <w:rPr>
          <w:rFonts w:ascii="Times New Roman" w:hAnsi="Times New Roman" w:cs="Times New Roman"/>
          <w:bCs/>
        </w:rPr>
        <w:t>projektā paredzēto pārkāpumu pazīmes (</w:t>
      </w:r>
      <w:r w:rsidRPr="0002189F">
        <w:rPr>
          <w:rFonts w:ascii="Times New Roman" w:hAnsi="Times New Roman" w:cs="Times New Roman"/>
          <w:bCs/>
          <w:i/>
          <w:iCs/>
        </w:rPr>
        <w:t xml:space="preserve">sal. sk. Muitas likuma 29. pantu un Ģenētisko resursu izmantošanas likuma 7. pantu, arī </w:t>
      </w:r>
      <w:r w:rsidR="00F435D8" w:rsidRPr="0002189F">
        <w:rPr>
          <w:rFonts w:ascii="Times New Roman" w:hAnsi="Times New Roman" w:cs="Times New Roman"/>
          <w:bCs/>
          <w:i/>
          <w:iCs/>
        </w:rPr>
        <w:t>likum</w:t>
      </w:r>
      <w:r w:rsidRPr="0002189F">
        <w:rPr>
          <w:rFonts w:ascii="Times New Roman" w:hAnsi="Times New Roman" w:cs="Times New Roman"/>
          <w:bCs/>
          <w:i/>
          <w:iCs/>
        </w:rPr>
        <w:t>projekta 69. panta otro daļu</w:t>
      </w:r>
      <w:r w:rsidRPr="0002189F">
        <w:rPr>
          <w:rFonts w:ascii="Times New Roman" w:hAnsi="Times New Roman" w:cs="Times New Roman"/>
          <w:bCs/>
        </w:rPr>
        <w:t>).</w:t>
      </w:r>
    </w:p>
    <w:p w14:paraId="26CF01F9" w14:textId="77777777" w:rsidR="00D37E7A" w:rsidRPr="0002189F" w:rsidRDefault="00D37E7A" w:rsidP="0002189F">
      <w:pPr>
        <w:spacing w:after="0" w:line="23" w:lineRule="atLeast"/>
        <w:ind w:firstLine="567"/>
        <w:jc w:val="both"/>
        <w:rPr>
          <w:rFonts w:ascii="Times New Roman" w:hAnsi="Times New Roman" w:cs="Times New Roman"/>
          <w:bCs/>
        </w:rPr>
      </w:pPr>
      <w:r w:rsidRPr="0002189F">
        <w:rPr>
          <w:rFonts w:ascii="Times New Roman" w:hAnsi="Times New Roman" w:cs="Times New Roman"/>
          <w:bCs/>
        </w:rPr>
        <w:t xml:space="preserve">Nebūtu paredzamas sodoša rakstura sankcijas par "pieņemto lēmumu pārkāpumiem". Tā vietā izmantojama administratīvā akta piespiedu izpilde. </w:t>
      </w:r>
      <w:proofErr w:type="gramStart"/>
      <w:r w:rsidRPr="0002189F">
        <w:rPr>
          <w:rFonts w:ascii="Times New Roman" w:hAnsi="Times New Roman" w:cs="Times New Roman"/>
          <w:bCs/>
        </w:rPr>
        <w:t>Turklāt,</w:t>
      </w:r>
      <w:proofErr w:type="gramEnd"/>
      <w:r w:rsidRPr="0002189F">
        <w:rPr>
          <w:rFonts w:ascii="Times New Roman" w:hAnsi="Times New Roman" w:cs="Times New Roman"/>
          <w:bCs/>
        </w:rPr>
        <w:t xml:space="preserve"> pat tajos izņēmuma gadījumos, kad sods par lēmumu nepildīšanu varētu būt paredzēts, pārkāpumam jābūt formulētam jau likumā un ārkārtīgi precīzi. Pārkāpuma saturs nevar būt atkarīgs no iestādes lēmuma, pārkāpuma pazīmes jānosaka likumdevējam.</w:t>
      </w:r>
    </w:p>
    <w:p w14:paraId="18C108DF" w14:textId="2ED753B8" w:rsidR="00D37E7A" w:rsidRPr="0002189F" w:rsidRDefault="00F70DF1" w:rsidP="0002189F">
      <w:pPr>
        <w:spacing w:after="0" w:line="23" w:lineRule="atLeast"/>
        <w:ind w:firstLine="567"/>
        <w:jc w:val="both"/>
        <w:rPr>
          <w:rFonts w:ascii="Times New Roman" w:hAnsi="Times New Roman" w:cs="Times New Roman"/>
          <w:bCs/>
          <w:iCs/>
        </w:rPr>
      </w:pPr>
      <w:r>
        <w:rPr>
          <w:rFonts w:ascii="Times New Roman" w:hAnsi="Times New Roman" w:cs="Times New Roman"/>
          <w:bCs/>
        </w:rPr>
        <w:t>9</w:t>
      </w:r>
      <w:r w:rsidR="00D37E7A" w:rsidRPr="0002189F">
        <w:rPr>
          <w:rFonts w:ascii="Times New Roman" w:hAnsi="Times New Roman" w:cs="Times New Roman"/>
          <w:bCs/>
        </w:rPr>
        <w:t xml:space="preserve">.5. </w:t>
      </w:r>
      <w:r w:rsidR="00D37E7A" w:rsidRPr="0002189F">
        <w:rPr>
          <w:rFonts w:ascii="Times New Roman" w:hAnsi="Times New Roman" w:cs="Times New Roman"/>
          <w:bCs/>
          <w:iCs/>
        </w:rPr>
        <w:t xml:space="preserve">Lūdzam </w:t>
      </w:r>
      <w:r w:rsidR="00F435D8" w:rsidRPr="0002189F">
        <w:rPr>
          <w:rFonts w:ascii="Times New Roman" w:hAnsi="Times New Roman" w:cs="Times New Roman"/>
          <w:bCs/>
          <w:iCs/>
        </w:rPr>
        <w:t>likum</w:t>
      </w:r>
      <w:r w:rsidR="00D37E7A" w:rsidRPr="0002189F">
        <w:rPr>
          <w:rFonts w:ascii="Times New Roman" w:hAnsi="Times New Roman" w:cs="Times New Roman"/>
          <w:bCs/>
          <w:iCs/>
        </w:rPr>
        <w:t xml:space="preserve">projektā paredzēt konkrētu sankciju piemērošanas procesa uzsākšanas noilguma termiņu. Lai arī šobrīd tiesiskās drošības princips, neskatoties uz likuma regulējumu, ierobežo iestādes tiesības piemērot sankcijas, tomēr tiesiskās noteiktības interesēs ir svarīgi </w:t>
      </w:r>
      <w:r w:rsidR="00F435D8" w:rsidRPr="0002189F">
        <w:rPr>
          <w:rFonts w:ascii="Times New Roman" w:hAnsi="Times New Roman" w:cs="Times New Roman"/>
          <w:bCs/>
          <w:iCs/>
        </w:rPr>
        <w:t>likum</w:t>
      </w:r>
      <w:r w:rsidR="00D37E7A" w:rsidRPr="0002189F">
        <w:rPr>
          <w:rFonts w:ascii="Times New Roman" w:hAnsi="Times New Roman" w:cs="Times New Roman"/>
          <w:bCs/>
          <w:iCs/>
        </w:rPr>
        <w:t xml:space="preserve">projektā noteikt konkrētu noilguma termiņu </w:t>
      </w:r>
      <w:proofErr w:type="gramStart"/>
      <w:r w:rsidR="00D37E7A" w:rsidRPr="0002189F">
        <w:rPr>
          <w:rFonts w:ascii="Times New Roman" w:hAnsi="Times New Roman" w:cs="Times New Roman"/>
          <w:bCs/>
          <w:iCs/>
        </w:rPr>
        <w:t>(</w:t>
      </w:r>
      <w:proofErr w:type="spellStart"/>
      <w:proofErr w:type="gramEnd"/>
      <w:r w:rsidR="00D37E7A" w:rsidRPr="0002189F">
        <w:rPr>
          <w:rFonts w:ascii="Times New Roman" w:hAnsi="Times New Roman" w:cs="Times New Roman"/>
          <w:bCs/>
          <w:i/>
        </w:rPr>
        <w:t>Danovskis</w:t>
      </w:r>
      <w:proofErr w:type="spellEnd"/>
      <w:r w:rsidR="00D37E7A" w:rsidRPr="0002189F">
        <w:rPr>
          <w:rFonts w:ascii="Times New Roman" w:hAnsi="Times New Roman" w:cs="Times New Roman"/>
          <w:bCs/>
          <w:i/>
        </w:rPr>
        <w:t xml:space="preserve"> E. Sodu tiesību principu nozīme administratīvajās tiesībās. </w:t>
      </w:r>
      <w:proofErr w:type="spellStart"/>
      <w:r w:rsidR="00D37E7A" w:rsidRPr="0002189F">
        <w:rPr>
          <w:rFonts w:ascii="Times New Roman" w:hAnsi="Times New Roman" w:cs="Times New Roman"/>
          <w:bCs/>
          <w:i/>
        </w:rPr>
        <w:t>Grām</w:t>
      </w:r>
      <w:proofErr w:type="spellEnd"/>
      <w:r w:rsidR="00D37E7A" w:rsidRPr="0002189F">
        <w:rPr>
          <w:rFonts w:ascii="Times New Roman" w:hAnsi="Times New Roman" w:cs="Times New Roman"/>
          <w:bCs/>
          <w:i/>
        </w:rPr>
        <w:t>.: Autoru kolektīvs. Juridisko personu publiski tiesiskā atbildība. Rīga: LU Akadēmiskais apgāds, 2018, 139. lpp.</w:t>
      </w:r>
      <w:r w:rsidR="00D37E7A" w:rsidRPr="0002189F">
        <w:rPr>
          <w:rFonts w:ascii="Times New Roman" w:hAnsi="Times New Roman" w:cs="Times New Roman"/>
          <w:bCs/>
          <w:iCs/>
        </w:rPr>
        <w:t>).</w:t>
      </w:r>
    </w:p>
    <w:p w14:paraId="71F005F3" w14:textId="77777777" w:rsidR="000C5CAA" w:rsidRPr="0002189F" w:rsidRDefault="000C5CAA" w:rsidP="0002189F">
      <w:pPr>
        <w:spacing w:after="0" w:line="23" w:lineRule="atLeast"/>
        <w:jc w:val="both"/>
        <w:rPr>
          <w:rFonts w:ascii="Times New Roman" w:hAnsi="Times New Roman" w:cs="Times New Roman"/>
          <w:i/>
          <w:iCs/>
          <w:color w:val="272C32"/>
          <w:sz w:val="18"/>
          <w:szCs w:val="18"/>
        </w:rPr>
      </w:pPr>
      <w:r w:rsidRPr="0002189F">
        <w:rPr>
          <w:rFonts w:ascii="Times New Roman" w:hAnsi="Times New Roman" w:cs="Times New Roman"/>
          <w:i/>
          <w:iCs/>
          <w:color w:val="272C32"/>
          <w:sz w:val="18"/>
          <w:szCs w:val="18"/>
        </w:rPr>
        <w:t xml:space="preserve">S. Vilcāns 67036901, </w:t>
      </w:r>
      <w:hyperlink r:id="rId8" w:history="1">
        <w:r w:rsidRPr="0002189F">
          <w:rPr>
            <w:rStyle w:val="Hipersaite"/>
            <w:rFonts w:ascii="Times New Roman" w:hAnsi="Times New Roman" w:cs="Times New Roman"/>
            <w:i/>
            <w:iCs/>
            <w:color w:val="auto"/>
            <w:sz w:val="18"/>
            <w:szCs w:val="18"/>
            <w:u w:val="none"/>
            <w:bdr w:val="none" w:sz="0" w:space="0" w:color="auto" w:frame="1"/>
          </w:rPr>
          <w:t>sandis.vilcans@tm.gov.lv</w:t>
        </w:r>
      </w:hyperlink>
    </w:p>
    <w:p w14:paraId="35D130FC" w14:textId="36282891" w:rsidR="000C5CAA" w:rsidRPr="0002189F" w:rsidRDefault="000C5CAA" w:rsidP="0002189F">
      <w:pPr>
        <w:spacing w:after="0" w:line="23" w:lineRule="atLeast"/>
        <w:ind w:firstLine="567"/>
        <w:jc w:val="both"/>
        <w:rPr>
          <w:rFonts w:ascii="Times New Roman" w:hAnsi="Times New Roman" w:cs="Times New Roman"/>
          <w:i/>
          <w:iCs/>
          <w:color w:val="272C32"/>
        </w:rPr>
      </w:pPr>
    </w:p>
    <w:p w14:paraId="5312FB45" w14:textId="0C95D79B" w:rsidR="00D37E7A" w:rsidRPr="0002189F" w:rsidRDefault="00F70DF1" w:rsidP="0002189F">
      <w:pPr>
        <w:spacing w:after="0" w:line="23" w:lineRule="atLeast"/>
        <w:ind w:firstLine="567"/>
        <w:jc w:val="both"/>
        <w:rPr>
          <w:rFonts w:ascii="Times New Roman" w:hAnsi="Times New Roman" w:cs="Times New Roman"/>
          <w:bCs/>
          <w:iCs/>
          <w:color w:val="272C32"/>
        </w:rPr>
      </w:pPr>
      <w:r>
        <w:rPr>
          <w:rFonts w:ascii="Times New Roman" w:hAnsi="Times New Roman" w:cs="Times New Roman"/>
          <w:color w:val="272C32"/>
        </w:rPr>
        <w:t>10</w:t>
      </w:r>
      <w:r w:rsidR="00D37E7A" w:rsidRPr="0002189F">
        <w:rPr>
          <w:rFonts w:ascii="Times New Roman" w:hAnsi="Times New Roman" w:cs="Times New Roman"/>
          <w:color w:val="272C32"/>
        </w:rPr>
        <w:t xml:space="preserve">. </w:t>
      </w:r>
      <w:r w:rsidR="00D37E7A" w:rsidRPr="0002189F">
        <w:rPr>
          <w:rFonts w:ascii="Times New Roman" w:hAnsi="Times New Roman" w:cs="Times New Roman"/>
          <w:bCs/>
          <w:iCs/>
          <w:color w:val="272C32"/>
        </w:rPr>
        <w:t> Anotācijā norādīts, ka "likumdevējs, nododot administratīvo pārkāpumu lietas izskatīšanai rajona (pilsētas) tiesām un apgabaltiesām, ir licis akcentu uz faktisko apstākļu pārbaudi un pierādījumu novērtēšanu administratīvo pārkāpumu lietās, rēķinoties, ka šajās lietās tiesību normu interpretācijai ir mazāka loma salīdzinājumā ar citām lietām".</w:t>
      </w:r>
    </w:p>
    <w:p w14:paraId="1A3E58F1" w14:textId="77777777" w:rsidR="00D37E7A" w:rsidRPr="0002189F" w:rsidRDefault="00D37E7A" w:rsidP="0002189F">
      <w:pPr>
        <w:spacing w:after="0" w:line="23" w:lineRule="atLeast"/>
        <w:ind w:firstLine="567"/>
        <w:jc w:val="both"/>
        <w:rPr>
          <w:rFonts w:ascii="Times New Roman" w:hAnsi="Times New Roman" w:cs="Times New Roman"/>
          <w:bCs/>
          <w:iCs/>
          <w:color w:val="272C32"/>
        </w:rPr>
      </w:pPr>
      <w:r w:rsidRPr="0002189F">
        <w:rPr>
          <w:rFonts w:ascii="Times New Roman" w:hAnsi="Times New Roman" w:cs="Times New Roman"/>
          <w:bCs/>
          <w:iCs/>
          <w:color w:val="272C32"/>
        </w:rPr>
        <w:t>Sākotnēji, izstrādājot Administratīvās atbildības likumu, bija iecere paredzēt, ka lietu kā pirmās instances tiesa izskata rajona (pilsētas) tiesa, kuras nolēmums kasācijas kārtībā būtu pārsūdzams Augstākajā tiesā. Šāds risinājums bija vērsts uz vienveidīgas tiesu prakses nodrošināšanu, paturot prātā, ka administratīvo pārkāpumu lietās var būt risināmi arī sarežģīti tiesību jautājumi. Tomēr šis tiesvedības instanču modelis netika ieviests nepieciešamā atbalsta trūkuma dēļ (</w:t>
      </w:r>
      <w:proofErr w:type="spellStart"/>
      <w:r w:rsidRPr="0002189F">
        <w:rPr>
          <w:rFonts w:ascii="Times New Roman" w:hAnsi="Times New Roman" w:cs="Times New Roman"/>
          <w:bCs/>
          <w:i/>
          <w:color w:val="272C32"/>
        </w:rPr>
        <w:t>Andruškina</w:t>
      </w:r>
      <w:proofErr w:type="spellEnd"/>
      <w:r w:rsidRPr="0002189F">
        <w:rPr>
          <w:rFonts w:ascii="Times New Roman" w:hAnsi="Times New Roman" w:cs="Times New Roman"/>
          <w:bCs/>
          <w:i/>
          <w:color w:val="272C32"/>
        </w:rPr>
        <w:t xml:space="preserve"> I. 21. nodaļa. Tiesvedības vispārīgie noteikumi. Skaidrojumi. </w:t>
      </w:r>
      <w:proofErr w:type="spellStart"/>
      <w:r w:rsidRPr="0002189F">
        <w:rPr>
          <w:rFonts w:ascii="Times New Roman" w:hAnsi="Times New Roman" w:cs="Times New Roman"/>
          <w:bCs/>
          <w:i/>
          <w:color w:val="272C32"/>
        </w:rPr>
        <w:t>Grām</w:t>
      </w:r>
      <w:proofErr w:type="spellEnd"/>
      <w:r w:rsidRPr="0002189F">
        <w:rPr>
          <w:rFonts w:ascii="Times New Roman" w:hAnsi="Times New Roman" w:cs="Times New Roman"/>
          <w:bCs/>
          <w:i/>
          <w:color w:val="272C32"/>
        </w:rPr>
        <w:t>.: Administratīvo pārkāpumu tiesības. Administratīvās atbildības likuma skaidrojumi. Sagatavojis autoru kolektīvs. E. </w:t>
      </w:r>
      <w:proofErr w:type="spellStart"/>
      <w:r w:rsidRPr="0002189F">
        <w:rPr>
          <w:rFonts w:ascii="Times New Roman" w:hAnsi="Times New Roman" w:cs="Times New Roman"/>
          <w:bCs/>
          <w:i/>
          <w:color w:val="272C32"/>
        </w:rPr>
        <w:t>Danovska</w:t>
      </w:r>
      <w:proofErr w:type="spellEnd"/>
      <w:r w:rsidRPr="0002189F">
        <w:rPr>
          <w:rFonts w:ascii="Times New Roman" w:hAnsi="Times New Roman" w:cs="Times New Roman"/>
          <w:bCs/>
          <w:i/>
          <w:color w:val="272C32"/>
        </w:rPr>
        <w:t xml:space="preserve"> un G. Kūtra zinātniskajā redakcijā. Rīga: Tiesu namu aģentūra, 2020, 464. lpp.</w:t>
      </w:r>
      <w:r w:rsidRPr="0002189F">
        <w:rPr>
          <w:rFonts w:ascii="Times New Roman" w:hAnsi="Times New Roman" w:cs="Times New Roman"/>
          <w:bCs/>
          <w:iCs/>
          <w:color w:val="272C32"/>
        </w:rPr>
        <w:t>). Tiesa vērtē gan faktisko apstākļu, gan tiesību jautājumus. Nav pamata apgalvojumam, ka administratīvā pārkāpuma procesā tiesību jautājumiem būtu mazāka nozīme nekā citos procesos.</w:t>
      </w:r>
    </w:p>
    <w:p w14:paraId="17F7B176" w14:textId="77777777" w:rsidR="00D37E7A" w:rsidRPr="0002189F" w:rsidRDefault="00D37E7A" w:rsidP="0002189F">
      <w:pPr>
        <w:spacing w:after="0" w:line="23" w:lineRule="atLeast"/>
        <w:jc w:val="both"/>
        <w:rPr>
          <w:rFonts w:ascii="Times New Roman" w:hAnsi="Times New Roman" w:cs="Times New Roman"/>
          <w:i/>
          <w:iCs/>
          <w:color w:val="272C32"/>
          <w:sz w:val="18"/>
          <w:szCs w:val="18"/>
        </w:rPr>
      </w:pPr>
      <w:r w:rsidRPr="0002189F">
        <w:rPr>
          <w:rFonts w:ascii="Times New Roman" w:hAnsi="Times New Roman" w:cs="Times New Roman"/>
          <w:i/>
          <w:iCs/>
          <w:color w:val="272C32"/>
          <w:sz w:val="18"/>
          <w:szCs w:val="18"/>
        </w:rPr>
        <w:t xml:space="preserve">S. Vilcāns 67036901, </w:t>
      </w:r>
      <w:hyperlink r:id="rId9" w:history="1">
        <w:r w:rsidRPr="0002189F">
          <w:rPr>
            <w:rStyle w:val="Hipersaite"/>
            <w:rFonts w:ascii="Times New Roman" w:hAnsi="Times New Roman" w:cs="Times New Roman"/>
            <w:i/>
            <w:iCs/>
            <w:color w:val="auto"/>
            <w:sz w:val="18"/>
            <w:szCs w:val="18"/>
            <w:u w:val="none"/>
            <w:bdr w:val="none" w:sz="0" w:space="0" w:color="auto" w:frame="1"/>
          </w:rPr>
          <w:t>sandis.vilcans@tm.gov.lv</w:t>
        </w:r>
      </w:hyperlink>
    </w:p>
    <w:p w14:paraId="3DA91120" w14:textId="64E6C4FA" w:rsidR="00D37E7A" w:rsidRPr="0002189F" w:rsidRDefault="00D37E7A" w:rsidP="0002189F">
      <w:pPr>
        <w:spacing w:after="0" w:line="23" w:lineRule="atLeast"/>
        <w:ind w:firstLine="567"/>
        <w:jc w:val="both"/>
        <w:rPr>
          <w:rFonts w:ascii="Times New Roman" w:hAnsi="Times New Roman" w:cs="Times New Roman"/>
          <w:color w:val="272C32"/>
        </w:rPr>
      </w:pPr>
    </w:p>
    <w:p w14:paraId="4F371D30" w14:textId="77777777" w:rsidR="00BC1E79" w:rsidRPr="00BC1E79" w:rsidRDefault="00F35585" w:rsidP="00BC1E79">
      <w:pPr>
        <w:spacing w:after="0" w:line="23" w:lineRule="atLeast"/>
        <w:ind w:firstLine="567"/>
        <w:jc w:val="both"/>
        <w:rPr>
          <w:rFonts w:ascii="Times New Roman" w:hAnsi="Times New Roman" w:cs="Times New Roman"/>
        </w:rPr>
      </w:pPr>
      <w:r w:rsidRPr="0002189F">
        <w:rPr>
          <w:rFonts w:ascii="Times New Roman" w:hAnsi="Times New Roman" w:cs="Times New Roman"/>
        </w:rPr>
        <w:t>1</w:t>
      </w:r>
      <w:r w:rsidR="00F70DF1">
        <w:rPr>
          <w:rFonts w:ascii="Times New Roman" w:hAnsi="Times New Roman" w:cs="Times New Roman"/>
        </w:rPr>
        <w:t>1</w:t>
      </w:r>
      <w:r w:rsidR="00513C67" w:rsidRPr="0002189F">
        <w:rPr>
          <w:rFonts w:ascii="Times New Roman" w:hAnsi="Times New Roman" w:cs="Times New Roman"/>
        </w:rPr>
        <w:t xml:space="preserve">. </w:t>
      </w:r>
      <w:r w:rsidR="00BC1E79" w:rsidRPr="00BC1E79">
        <w:rPr>
          <w:rFonts w:ascii="Times New Roman" w:hAnsi="Times New Roman" w:cs="Times New Roman"/>
        </w:rPr>
        <w:t>Kas attiecas uz likumprojekta 75. pantu, Tieslietu ministrija uztur tās izteiktos iebildumus par to, ka likumprojekta 75. pantā iekļautajām normām, kas risina norisi tiesā (likumprojekta 75. panta ceturtā, piektā, sestā, septītā un astotā daļa), jābūt iekļautām Civilprocesa likumā. Līdz ar to lūdzam tās izslēgt no likumprojekta 75. panta.</w:t>
      </w:r>
    </w:p>
    <w:p w14:paraId="1067A2E4" w14:textId="77777777" w:rsidR="00BC1E79" w:rsidRPr="00BC1E79" w:rsidRDefault="00BC1E79" w:rsidP="00BC1E79">
      <w:pPr>
        <w:spacing w:after="0" w:line="23" w:lineRule="atLeast"/>
        <w:ind w:firstLine="567"/>
        <w:jc w:val="both"/>
        <w:rPr>
          <w:rFonts w:ascii="Times New Roman" w:hAnsi="Times New Roman" w:cs="Times New Roman"/>
        </w:rPr>
      </w:pPr>
      <w:r w:rsidRPr="00BC1E79">
        <w:rPr>
          <w:rFonts w:ascii="Times New Roman" w:hAnsi="Times New Roman" w:cs="Times New Roman"/>
        </w:rPr>
        <w:t>Ja Finanšu ministrija iebilst iepriekš minētā regulējuma pārnešanai tikai uz Civilprocesa likumu, Tieslietu ministrija var atbalstīt šāda procesuālā regulējuma atstāšanu likumprojektā (</w:t>
      </w:r>
      <w:proofErr w:type="gramStart"/>
      <w:r w:rsidRPr="00BC1E79">
        <w:rPr>
          <w:rFonts w:ascii="Times New Roman" w:hAnsi="Times New Roman" w:cs="Times New Roman"/>
        </w:rPr>
        <w:t>ar tālāku tā iekļaušanu</w:t>
      </w:r>
      <w:proofErr w:type="gramEnd"/>
      <w:r w:rsidRPr="00BC1E79">
        <w:rPr>
          <w:rFonts w:ascii="Times New Roman" w:hAnsi="Times New Roman" w:cs="Times New Roman"/>
        </w:rPr>
        <w:t xml:space="preserve"> Civilprocesa likumā) tikai pie nosacījuma, ja 75. panta sestā daļa tiek izteikta sekojošā redakcijā:</w:t>
      </w:r>
    </w:p>
    <w:p w14:paraId="333C0C4D" w14:textId="77777777" w:rsidR="00BC1E79" w:rsidRPr="00BC1E79" w:rsidRDefault="00BC1E79" w:rsidP="00BC1E79">
      <w:pPr>
        <w:spacing w:after="0" w:line="23" w:lineRule="atLeast"/>
        <w:ind w:firstLine="567"/>
        <w:jc w:val="both"/>
        <w:rPr>
          <w:rFonts w:ascii="Times New Roman" w:hAnsi="Times New Roman" w:cs="Times New Roman"/>
        </w:rPr>
      </w:pPr>
      <w:r w:rsidRPr="00BC1E79">
        <w:rPr>
          <w:rFonts w:ascii="Times New Roman" w:hAnsi="Times New Roman" w:cs="Times New Roman"/>
        </w:rPr>
        <w:t>"(6) Ierosinot ieguldījumu brokeru sabiedrības maksātnespējas procesa lietu, tiesa nekavējoties par to informē Komisiju neatkarīgi no tā, vai ieguldījumu brokeru sabiedrībai tiek piemērots noregulējums vai ir publiskots lēmums saskaņā ar Kredītiestāžu un ieguldījumu brokeru sabiedrību darbības atjaunošanas un noregulējuma likumā noteikto kārtību." </w:t>
      </w:r>
    </w:p>
    <w:p w14:paraId="1270FA9F" w14:textId="49E65453" w:rsidR="00BC1E79" w:rsidRPr="00BC1E79" w:rsidRDefault="00BC1E79" w:rsidP="00BC1E79">
      <w:pPr>
        <w:spacing w:after="0" w:line="23" w:lineRule="atLeast"/>
        <w:ind w:firstLine="567"/>
        <w:jc w:val="both"/>
        <w:rPr>
          <w:rFonts w:ascii="Times New Roman" w:hAnsi="Times New Roman" w:cs="Times New Roman"/>
        </w:rPr>
      </w:pPr>
      <w:r w:rsidRPr="00BC1E79">
        <w:rPr>
          <w:rFonts w:ascii="Times New Roman" w:hAnsi="Times New Roman" w:cs="Times New Roman"/>
        </w:rPr>
        <w:t>Jebkādas darbības attiecībā uz ieguldījumu brokeru sabiedrības maksātne</w:t>
      </w:r>
      <w:r>
        <w:rPr>
          <w:rFonts w:ascii="Times New Roman" w:hAnsi="Times New Roman" w:cs="Times New Roman"/>
        </w:rPr>
        <w:t>s</w:t>
      </w:r>
      <w:r w:rsidRPr="00BC1E79">
        <w:rPr>
          <w:rFonts w:ascii="Times New Roman" w:hAnsi="Times New Roman" w:cs="Times New Roman"/>
        </w:rPr>
        <w:t xml:space="preserve">pējas lietu, tostarp informēt Komisiju vai izskatīt pieteikumu, kā tas ir norādīts arī likumprojekta 75. panta septītajā un astotajā daļā, tiesa var veikt tikai pēc tam, kad ir ierosinājusi lietu. Kamēr lieta nav ierosināta, tiesai nav pamata veikt nekādas darbības, jo pastāv iespēja, ka lieta nemaz netiks ierosināta, proti, pieteicējs var nebūt iesniedzis visus likumā noteiktos dokumentus vai samaksājis tiesas izdevumus. Šādos gadījumos pieteicējam tiek dots termiņš trūkumu </w:t>
      </w:r>
      <w:r w:rsidRPr="00BC1E79">
        <w:rPr>
          <w:rFonts w:ascii="Times New Roman" w:hAnsi="Times New Roman" w:cs="Times New Roman"/>
        </w:rPr>
        <w:lastRenderedPageBreak/>
        <w:t>novēršanai. Ja trūkumi netiek novērsti, pieteikums tiek uzskatīts par neiesniegtu un atgriezts pieteicējam. Savukārt, ja trūkumi noteiktajā termiņā tiek novērsti, pieteikums tiek pieņemts un lieta tiek ierosināta. Attiecīgi tikai pēc lietas ierosināšanas tiesai var rasties pienākums informēt Komisiju par pieņemto pieteikumu, kā arī izlemt jautājumu par pieteikuma apmierināšanu vai noraidīšanu.</w:t>
      </w:r>
    </w:p>
    <w:p w14:paraId="692D6F47" w14:textId="134B557E" w:rsidR="00436F84" w:rsidRPr="00A8235E" w:rsidRDefault="00436F84" w:rsidP="00BC1E79">
      <w:pPr>
        <w:spacing w:after="0" w:line="23" w:lineRule="atLeast"/>
        <w:jc w:val="both"/>
        <w:rPr>
          <w:rFonts w:ascii="Times New Roman" w:hAnsi="Times New Roman" w:cs="Times New Roman"/>
          <w:i/>
          <w:iCs/>
          <w:sz w:val="18"/>
          <w:szCs w:val="18"/>
        </w:rPr>
      </w:pPr>
      <w:r w:rsidRPr="00A8235E">
        <w:rPr>
          <w:rFonts w:ascii="Times New Roman" w:hAnsi="Times New Roman" w:cs="Times New Roman"/>
          <w:i/>
          <w:iCs/>
          <w:sz w:val="18"/>
          <w:szCs w:val="18"/>
        </w:rPr>
        <w:t>I. Gedus 67036994, iveta.gedus@tm.gov.lv</w:t>
      </w:r>
    </w:p>
    <w:p w14:paraId="58FC9D4A" w14:textId="4C56FC5B" w:rsidR="001B4F8B" w:rsidRPr="00A8235E" w:rsidRDefault="001B4F8B" w:rsidP="0002189F">
      <w:pPr>
        <w:pStyle w:val="Bezatstarpm"/>
        <w:spacing w:line="23" w:lineRule="atLeast"/>
        <w:rPr>
          <w:i/>
          <w:iCs/>
          <w:sz w:val="18"/>
          <w:szCs w:val="18"/>
          <w:lang w:val="lv-LV"/>
        </w:rPr>
      </w:pPr>
      <w:r w:rsidRPr="00A8235E">
        <w:rPr>
          <w:i/>
          <w:iCs/>
          <w:sz w:val="18"/>
          <w:szCs w:val="18"/>
          <w:lang w:val="lv-LV"/>
        </w:rPr>
        <w:t xml:space="preserve">L. Ozola 67046147, </w:t>
      </w:r>
      <w:r w:rsidR="00A250DC" w:rsidRPr="00A8235E">
        <w:rPr>
          <w:i/>
          <w:iCs/>
          <w:sz w:val="18"/>
          <w:szCs w:val="18"/>
          <w:lang w:val="lv-LV"/>
        </w:rPr>
        <w:t>liene.ozola@tm.gov.lv</w:t>
      </w:r>
    </w:p>
    <w:p w14:paraId="51AFE6EC" w14:textId="727E7D4F" w:rsidR="00436F84" w:rsidRPr="00A8235E" w:rsidRDefault="00436F84" w:rsidP="0002189F">
      <w:pPr>
        <w:pStyle w:val="Bezatstarpm"/>
        <w:spacing w:line="23" w:lineRule="atLeast"/>
        <w:rPr>
          <w:b/>
          <w:bCs/>
          <w:i/>
          <w:iCs/>
          <w:sz w:val="18"/>
          <w:szCs w:val="18"/>
          <w:lang w:val="lv-LV"/>
        </w:rPr>
      </w:pPr>
      <w:r w:rsidRPr="00A8235E">
        <w:rPr>
          <w:i/>
          <w:iCs/>
          <w:sz w:val="18"/>
          <w:szCs w:val="18"/>
          <w:lang w:val="lv-LV"/>
        </w:rPr>
        <w:t>K. Bajāre-Grīnberga 67036789, kintija.bajare-grinberga@tm.gov.lv</w:t>
      </w:r>
    </w:p>
    <w:p w14:paraId="6DC4A1B3" w14:textId="77777777" w:rsidR="001B4F8B" w:rsidRPr="0002189F" w:rsidRDefault="001B4F8B" w:rsidP="0002189F">
      <w:pPr>
        <w:spacing w:after="0" w:line="23" w:lineRule="atLeast"/>
        <w:ind w:firstLine="567"/>
        <w:jc w:val="both"/>
        <w:rPr>
          <w:rFonts w:ascii="Times New Roman" w:hAnsi="Times New Roman" w:cs="Times New Roman"/>
          <w:b/>
          <w:bCs/>
          <w:lang w:eastAsia="lv-LV"/>
        </w:rPr>
      </w:pPr>
    </w:p>
    <w:p w14:paraId="1B0F5892" w14:textId="762D5971" w:rsidR="00CD53DD" w:rsidRPr="0002189F" w:rsidRDefault="0002189F"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1</w:t>
      </w:r>
      <w:r w:rsidR="00F70DF1">
        <w:rPr>
          <w:rFonts w:ascii="Times New Roman" w:hAnsi="Times New Roman" w:cs="Times New Roman"/>
          <w:lang w:eastAsia="lv-LV"/>
        </w:rPr>
        <w:t>2</w:t>
      </w:r>
      <w:r w:rsidR="00A729E8" w:rsidRPr="0002189F">
        <w:rPr>
          <w:rFonts w:ascii="Times New Roman" w:hAnsi="Times New Roman" w:cs="Times New Roman"/>
          <w:lang w:eastAsia="lv-LV"/>
        </w:rPr>
        <w:t xml:space="preserve">. </w:t>
      </w:r>
      <w:r w:rsidR="00813BEF" w:rsidRPr="0002189F">
        <w:rPr>
          <w:rFonts w:ascii="Times New Roman" w:hAnsi="Times New Roman" w:cs="Times New Roman"/>
          <w:lang w:eastAsia="lv-LV"/>
        </w:rPr>
        <w:t xml:space="preserve">Tieslietu ministrija </w:t>
      </w:r>
      <w:r w:rsidR="00CD53DD" w:rsidRPr="0002189F">
        <w:rPr>
          <w:rFonts w:ascii="Times New Roman" w:hAnsi="Times New Roman" w:cs="Times New Roman"/>
          <w:lang w:eastAsia="lv-LV"/>
        </w:rPr>
        <w:t>uztur izziņas I sadaļas 44. punktā ietverto iebildumu. Izziņā norādīts, ka Tieslietu ministrijas iebildums ir ņemts vērā, tomēr jāatzīmē, ka likumprojekta 76. panta trešā daļa vēl aizvien neatbilst pilnībā Eiropas Parlamenta un Padomes 2014. gada 15. maija Direktīvas 2014/59/ES, ar ko izveido kredītiestāžu un ieguldījumu brokeru sabiedrību atveseļošanas un noregulējuma režīmu un groza Padomes Direktīvu 82/891/EEK un Eiropas Parlamenta un Padomes Direktīvas 2001/24/EK, 2002/47/EK, 2004/25/EK, 2005/56/EK, 2007/36/EK, 2011/35/ES, 2012/30/ES un 2013/36/ES, un Eiropas Parlamenta un Padomes Regulas (ES) Nr. 1093/2010 un (ES) Nr. 648/2012 (turpmāk – Direktīva) 108. panta, kā tas grozīts ar Eiropas Parlamenta un Padomes 2017. gada 12. decembra direktīvu (ES) 2017/2399, ar ko groza Direktīvu 2014/59/ES attiecībā uz nenodrošinātu parāda instrumentu prioritāti maksātnespējas hierarhijā, 2. punktam.</w:t>
      </w:r>
    </w:p>
    <w:p w14:paraId="36C5A9F6"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 xml:space="preserve">Direktīvas 108. panta 2. punktā noteikts, ka dalībvalstis nodrošina, ka attiecībā uz 1. panta 1. punkta pirmās daļas a) līdz d) apakšpunktā minētajām vienībām </w:t>
      </w:r>
      <w:r w:rsidRPr="0002189F">
        <w:rPr>
          <w:rFonts w:ascii="Times New Roman" w:hAnsi="Times New Roman" w:cs="Times New Roman"/>
          <w:b/>
          <w:bCs/>
          <w:lang w:eastAsia="lv-LV"/>
        </w:rPr>
        <w:t>parastiem nenodrošinātiem prasījumiem</w:t>
      </w:r>
      <w:r w:rsidRPr="0002189F">
        <w:rPr>
          <w:rFonts w:ascii="Times New Roman" w:hAnsi="Times New Roman" w:cs="Times New Roman"/>
          <w:lang w:eastAsia="lv-LV"/>
        </w:rPr>
        <w:t xml:space="preserve"> dalībvalstu tiesību aktos, kas reglamentē parastās maksātnespējas procedūras, </w:t>
      </w:r>
      <w:r w:rsidRPr="0002189F">
        <w:rPr>
          <w:rFonts w:ascii="Times New Roman" w:hAnsi="Times New Roman" w:cs="Times New Roman"/>
          <w:b/>
          <w:bCs/>
          <w:lang w:eastAsia="lv-LV"/>
        </w:rPr>
        <w:t>ir augstāka prioritāte nekā nenodrošinātiem prasījumiem, kas izriet no parāda instrumentiem, kuri atbilst šādiem nosacījumiem</w:t>
      </w:r>
      <w:r w:rsidRPr="0002189F">
        <w:rPr>
          <w:rFonts w:ascii="Times New Roman" w:hAnsi="Times New Roman" w:cs="Times New Roman"/>
          <w:lang w:eastAsia="lv-LV"/>
        </w:rPr>
        <w:t>: [..].”</w:t>
      </w:r>
    </w:p>
    <w:p w14:paraId="581622CC"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 xml:space="preserve">Savukārt likumprojekta 76. panta trešā daļa paredz, </w:t>
      </w:r>
      <w:proofErr w:type="gramStart"/>
      <w:r w:rsidRPr="0002189F">
        <w:rPr>
          <w:rFonts w:ascii="Times New Roman" w:hAnsi="Times New Roman" w:cs="Times New Roman"/>
          <w:lang w:eastAsia="lv-LV"/>
        </w:rPr>
        <w:t>ka</w:t>
      </w:r>
      <w:proofErr w:type="gramEnd"/>
      <w:r w:rsidRPr="0002189F">
        <w:rPr>
          <w:rFonts w:ascii="Times New Roman" w:hAnsi="Times New Roman" w:cs="Times New Roman"/>
          <w:lang w:eastAsia="lv-LV"/>
        </w:rPr>
        <w:t xml:space="preserve"> pēc tam kad pilnībā segtas šā panta pirmajā daļā minētās izmaksas un kreditoru prasījumi, </w:t>
      </w:r>
      <w:r w:rsidRPr="0002189F">
        <w:rPr>
          <w:rFonts w:ascii="Times New Roman" w:hAnsi="Times New Roman" w:cs="Times New Roman"/>
          <w:b/>
          <w:bCs/>
          <w:lang w:eastAsia="lv-LV"/>
        </w:rPr>
        <w:t>pārējie nenodrošināto kreditoru prasījumi tiek segti Maksātnespējas likumā noteiktajā</w:t>
      </w:r>
      <w:r w:rsidRPr="0002189F">
        <w:rPr>
          <w:rFonts w:ascii="Times New Roman" w:hAnsi="Times New Roman" w:cs="Times New Roman"/>
          <w:lang w:eastAsia="lv-LV"/>
        </w:rPr>
        <w:t xml:space="preserve"> kreditoru prasījumu segšanas kārtībā, </w:t>
      </w:r>
      <w:r w:rsidRPr="0002189F">
        <w:rPr>
          <w:rFonts w:ascii="Times New Roman" w:hAnsi="Times New Roman" w:cs="Times New Roman"/>
          <w:b/>
          <w:bCs/>
          <w:lang w:eastAsia="lv-LV"/>
        </w:rPr>
        <w:t>tostarp prasījumi</w:t>
      </w:r>
      <w:r w:rsidRPr="0002189F">
        <w:rPr>
          <w:rFonts w:ascii="Times New Roman" w:hAnsi="Times New Roman" w:cs="Times New Roman"/>
          <w:lang w:eastAsia="lv-LV"/>
        </w:rPr>
        <w:t>, kas izriet no  parāda instrumenta, kura sākotnējais dzēšanas termiņš saskaņā ar līgumu vai prospektu ir vismaz viens gads, kurš nav uzskatāms par atvasinātu finanšu instrumentu, kurā nav ietverts atvasināts finanšu instruments un attiecībā uz kuru līgumā vai prospektā ir noteikta zemāka prioritāte nekā tiem kreditoru prasījumiem, kas ir līdzīgi šā panta pirmajā daļā noteiktajiem.</w:t>
      </w:r>
    </w:p>
    <w:p w14:paraId="6441E38B"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Vēršam uzmanību, ka Maksātnespējas likuma 118. pantā nav paredzēta īpaša segšanas kārtība attiecībā uz prasījumiem, kuri minēti Direktīvas 108. panta 2. punktā un kuri iestrādāti likumprojekta 76. panta trešajā daļā. Tā kā pēdējā minētajā ir paredzēts Direktīvas 108. panta 2. punkta prasījumus nostādīt vienā prioritātē (to nodrošina vārdi “tostarp prasījumi”) ar parastiem nenodrošinātiem prasījumiem, tad pretēji Direktīvas 108. pantā noteiktajiem šie “īpašie prasījumi” būs iekļaujami parasto nenodrošināto kreditoru prasījumu kārtā atbilstoši Maksātnespējas likuma 118. panta piektajā daļā noteiktajam.</w:t>
      </w:r>
    </w:p>
    <w:p w14:paraId="4EC339DD" w14:textId="2988DDD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Likumdošanas procesa efektivitātes nolūkos izsakām šādu priekšlikumu likumprojekta 76. panta trešās daļas precizēšanai, to sadalot divās daļās:</w:t>
      </w:r>
    </w:p>
    <w:p w14:paraId="328FC27B"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“(3) Pēc tam kad pilnībā segtas šā panta pirmajā daļā minētās izmaksas un kreditoru prasījumi, pārējie nenodrošināto kreditoru prasījumi tiek segti Maksātnespējas likumā noteiktajā kreditoru prasījumu segšanas kārtībā.</w:t>
      </w:r>
    </w:p>
    <w:p w14:paraId="5024B170"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t xml:space="preserve">(4) Prasījumi, kas izriet no parāda instrumenta, kura sākotnējais dzēšanas termiņš saskaņā ar līgumu vai prospektu ir vismaz viens gads, kurš nav uzskatāms par atvasinātu finanšu instrumentu, kurā nav ietverts atvasināts finanšu instruments un </w:t>
      </w:r>
      <w:proofErr w:type="gramStart"/>
      <w:r w:rsidRPr="0002189F">
        <w:rPr>
          <w:rFonts w:ascii="Times New Roman" w:hAnsi="Times New Roman" w:cs="Times New Roman"/>
          <w:lang w:eastAsia="lv-LV"/>
        </w:rPr>
        <w:t>attiecībā uz kuru</w:t>
      </w:r>
      <w:proofErr w:type="gramEnd"/>
      <w:r w:rsidRPr="0002189F">
        <w:rPr>
          <w:rFonts w:ascii="Times New Roman" w:hAnsi="Times New Roman" w:cs="Times New Roman"/>
          <w:lang w:eastAsia="lv-LV"/>
        </w:rPr>
        <w:t xml:space="preserve"> līgumā vai prospektā ir noteikta zemāka prioritāte nekā tiem kreditoru prasījumiem, kas ir līdzīgi šā panta pirmajā daļā noteiktajiem, tiek segti pēc šā panta trešajā daļā noteikto prasījumu segšanas. Parāda instrumentu ar mainīgu procentu likmi, kas nosakāma, pamatojoties uz finanšu tirgū vispāratzīti lietotu bāzes procentu likmi, un  parāda instrumentu, kas nav izteikts emitenta valsts valūtā, ar nosacījumu, ka pamatsumma, atmaksas summa un procentu likme ir izteikta vienā un tajā pašā valūtā, neuzskata par tādu parāda instrumentu, kurā ietverts atvasināts finanšu instruments tikai šajā teikumā minēto pazīmju dēļ.”</w:t>
      </w:r>
    </w:p>
    <w:p w14:paraId="2AB7FDD7" w14:textId="77777777" w:rsidR="00CD53DD" w:rsidRPr="0002189F" w:rsidRDefault="00CD53DD" w:rsidP="0002189F">
      <w:pPr>
        <w:spacing w:after="0" w:line="23" w:lineRule="atLeast"/>
        <w:ind w:firstLine="567"/>
        <w:jc w:val="both"/>
        <w:rPr>
          <w:rFonts w:ascii="Times New Roman" w:hAnsi="Times New Roman" w:cs="Times New Roman"/>
          <w:lang w:eastAsia="lv-LV"/>
        </w:rPr>
      </w:pPr>
      <w:r w:rsidRPr="0002189F">
        <w:rPr>
          <w:rFonts w:ascii="Times New Roman" w:hAnsi="Times New Roman" w:cs="Times New Roman"/>
          <w:lang w:eastAsia="lv-LV"/>
        </w:rPr>
        <w:lastRenderedPageBreak/>
        <w:t>Vēršam uzmanību, ka priekšlikuma vērā ņemšanas gadījumā ir jāprecizē turpmākā daļu numerācija, kā arī šajās daļās ietvertās atsauces.</w:t>
      </w:r>
    </w:p>
    <w:p w14:paraId="1BDDB2B7" w14:textId="77777777" w:rsidR="001B4F8B" w:rsidRPr="0002189F" w:rsidRDefault="001B4F8B" w:rsidP="0002189F">
      <w:pPr>
        <w:pStyle w:val="Bezatstarpm"/>
        <w:spacing w:line="23" w:lineRule="atLeast"/>
        <w:rPr>
          <w:i/>
          <w:iCs/>
          <w:sz w:val="18"/>
          <w:szCs w:val="18"/>
          <w:lang w:val="lv-LV"/>
        </w:rPr>
      </w:pPr>
      <w:r w:rsidRPr="0002189F">
        <w:rPr>
          <w:i/>
          <w:iCs/>
          <w:sz w:val="18"/>
          <w:szCs w:val="18"/>
          <w:lang w:val="lv-LV"/>
        </w:rPr>
        <w:t>L. Ozola 67046147, liene.ozola@tm.gov.lv</w:t>
      </w:r>
    </w:p>
    <w:p w14:paraId="22460504" w14:textId="77777777" w:rsidR="000C6C7A" w:rsidRPr="0002189F" w:rsidRDefault="000C6C7A" w:rsidP="0002189F">
      <w:pPr>
        <w:spacing w:after="0" w:line="23" w:lineRule="atLeast"/>
        <w:ind w:firstLine="567"/>
        <w:jc w:val="both"/>
        <w:rPr>
          <w:rFonts w:ascii="Times New Roman" w:hAnsi="Times New Roman" w:cs="Times New Roman"/>
        </w:rPr>
      </w:pPr>
    </w:p>
    <w:p w14:paraId="15FFA35E" w14:textId="0DDDB01C" w:rsidR="00E96BB9" w:rsidRPr="0002189F" w:rsidRDefault="0002189F" w:rsidP="0002189F">
      <w:pPr>
        <w:spacing w:after="0" w:line="23" w:lineRule="atLeast"/>
        <w:ind w:firstLine="567"/>
        <w:jc w:val="both"/>
        <w:rPr>
          <w:rFonts w:ascii="Times New Roman" w:hAnsi="Times New Roman" w:cs="Times New Roman"/>
        </w:rPr>
      </w:pPr>
      <w:r w:rsidRPr="0002189F">
        <w:rPr>
          <w:rFonts w:ascii="Times New Roman" w:hAnsi="Times New Roman" w:cs="Times New Roman"/>
          <w:lang w:eastAsia="lv-LV"/>
        </w:rPr>
        <w:t>1</w:t>
      </w:r>
      <w:r w:rsidR="00F70DF1">
        <w:rPr>
          <w:rFonts w:ascii="Times New Roman" w:hAnsi="Times New Roman" w:cs="Times New Roman"/>
          <w:lang w:eastAsia="lv-LV"/>
        </w:rPr>
        <w:t>3</w:t>
      </w:r>
      <w:r w:rsidR="00E96BB9" w:rsidRPr="0002189F">
        <w:rPr>
          <w:rFonts w:ascii="Times New Roman" w:hAnsi="Times New Roman" w:cs="Times New Roman"/>
          <w:lang w:eastAsia="lv-LV"/>
        </w:rPr>
        <w:t xml:space="preserve">. </w:t>
      </w:r>
      <w:r w:rsidR="00CD53DD" w:rsidRPr="0002189F">
        <w:rPr>
          <w:rFonts w:ascii="Times New Roman" w:hAnsi="Times New Roman" w:cs="Times New Roman"/>
        </w:rPr>
        <w:t>Tāpat u</w:t>
      </w:r>
      <w:r w:rsidR="00AC6CE2" w:rsidRPr="0002189F">
        <w:rPr>
          <w:rFonts w:ascii="Times New Roman" w:hAnsi="Times New Roman" w:cs="Times New Roman"/>
        </w:rPr>
        <w:t xml:space="preserve">zturam izziņas I sadaļas 44. punktā ietverto Tieslietu ministrijas iebildumu attiecībā uz nepieciešamību precizēt anotācijas V sadaļu. Ņemot vērā arī to, ka no Finanšu instrumentu tirgus likuma tiek izslēgtas tiesību normas, kurās savulaik tika pārņemts </w:t>
      </w:r>
      <w:r w:rsidR="00AC6CE2" w:rsidRPr="0002189F">
        <w:rPr>
          <w:rFonts w:ascii="Times New Roman" w:hAnsi="Times New Roman" w:cs="Times New Roman"/>
          <w:i/>
          <w:iCs/>
        </w:rPr>
        <w:t xml:space="preserve">Eiropas Parlamenta un Padomes 2017. gada 12. decembra direktīvas </w:t>
      </w:r>
      <w:proofErr w:type="gramStart"/>
      <w:r w:rsidR="00AC6CE2" w:rsidRPr="0002189F">
        <w:rPr>
          <w:rFonts w:ascii="Times New Roman" w:hAnsi="Times New Roman" w:cs="Times New Roman"/>
          <w:i/>
          <w:iCs/>
        </w:rPr>
        <w:t>(</w:t>
      </w:r>
      <w:proofErr w:type="gramEnd"/>
      <w:r w:rsidR="00AC6CE2" w:rsidRPr="0002189F">
        <w:rPr>
          <w:rFonts w:ascii="Times New Roman" w:hAnsi="Times New Roman" w:cs="Times New Roman"/>
          <w:i/>
          <w:iCs/>
        </w:rPr>
        <w:t>ES) 2017/2399, ar ko groza Direktīvu 2014/59/ES attiecībā uz nenodrošinātu parāda instrumentu prioritāti maksātnespējas hierarhijā</w:t>
      </w:r>
      <w:r w:rsidR="00AC6CE2" w:rsidRPr="0002189F">
        <w:rPr>
          <w:rFonts w:ascii="Times New Roman" w:hAnsi="Times New Roman" w:cs="Times New Roman"/>
        </w:rPr>
        <w:t xml:space="preserve"> (turpmāk – 2017. gada direktīva</w:t>
      </w:r>
      <w:r w:rsidR="00AC6CE2" w:rsidRPr="0002189F">
        <w:rPr>
          <w:rFonts w:ascii="Times New Roman" w:hAnsi="Times New Roman" w:cs="Times New Roman"/>
          <w:bdr w:val="none" w:sz="0" w:space="0" w:color="auto" w:frame="1"/>
        </w:rPr>
        <w:t xml:space="preserve">) </w:t>
      </w:r>
      <w:r w:rsidR="00AC6CE2" w:rsidRPr="0002189F">
        <w:rPr>
          <w:rFonts w:ascii="Times New Roman" w:hAnsi="Times New Roman" w:cs="Times New Roman"/>
        </w:rPr>
        <w:t xml:space="preserve">108. pants, nepieciešams papildināt </w:t>
      </w:r>
      <w:r w:rsidR="00CD53DD" w:rsidRPr="0002189F">
        <w:rPr>
          <w:rFonts w:ascii="Times New Roman" w:hAnsi="Times New Roman" w:cs="Times New Roman"/>
        </w:rPr>
        <w:t xml:space="preserve">likumprojekta </w:t>
      </w:r>
      <w:r w:rsidR="00AC6CE2" w:rsidRPr="0002189F">
        <w:rPr>
          <w:rFonts w:ascii="Times New Roman" w:hAnsi="Times New Roman" w:cs="Times New Roman"/>
        </w:rPr>
        <w:t xml:space="preserve">anotācijas V sadaļas 1. tabulu ar informāciju par 2017. gada direktīvas normu pārņemšanu likumprojektā (šobrīd anotācijas V sadaļa aptver tikai 2019. gada direktīvas pārņemšanu). Tāpat pēc likumprojekta pieņemšanas 2019. gada direktīvas pārņemšana atkārtoti </w:t>
      </w:r>
      <w:proofErr w:type="spellStart"/>
      <w:r w:rsidR="00AC6CE2" w:rsidRPr="0002189F">
        <w:rPr>
          <w:rFonts w:ascii="Times New Roman" w:hAnsi="Times New Roman" w:cs="Times New Roman"/>
        </w:rPr>
        <w:t>jānotificē</w:t>
      </w:r>
      <w:proofErr w:type="spellEnd"/>
      <w:r w:rsidR="00AC6CE2" w:rsidRPr="0002189F">
        <w:rPr>
          <w:rFonts w:ascii="Times New Roman" w:hAnsi="Times New Roman" w:cs="Times New Roman"/>
        </w:rPr>
        <w:t xml:space="preserve"> Eiropas Savienībā, jo līdzšinējā notifikācija par Finanšu instrumentu tirgus likumu pēc tā 154. panta izslēgšanas vairs nebūs korekta.</w:t>
      </w:r>
    </w:p>
    <w:p w14:paraId="2A192AC1" w14:textId="7DA15AF6" w:rsidR="00AC6CE2" w:rsidRPr="0002189F" w:rsidRDefault="00AC6CE2"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A. Reinfelde 67046108, andra.reinfelde@tm.gov.lv</w:t>
      </w:r>
    </w:p>
    <w:p w14:paraId="322B8C93" w14:textId="68B5491D" w:rsidR="00CD53DD" w:rsidRPr="0002189F" w:rsidRDefault="00CD53DD" w:rsidP="0002189F">
      <w:pPr>
        <w:spacing w:after="0" w:line="23" w:lineRule="atLeast"/>
        <w:jc w:val="both"/>
        <w:rPr>
          <w:rFonts w:ascii="Times New Roman" w:hAnsi="Times New Roman" w:cs="Times New Roman"/>
          <w:i/>
          <w:iCs/>
          <w:sz w:val="18"/>
          <w:szCs w:val="18"/>
        </w:rPr>
      </w:pPr>
      <w:r w:rsidRPr="0002189F">
        <w:rPr>
          <w:rFonts w:ascii="Times New Roman" w:hAnsi="Times New Roman" w:cs="Times New Roman"/>
          <w:i/>
          <w:iCs/>
          <w:sz w:val="18"/>
          <w:szCs w:val="18"/>
        </w:rPr>
        <w:t>L. Ozola 67046147, liene.ozola@tm.gov.lv</w:t>
      </w:r>
    </w:p>
    <w:p w14:paraId="52CAE5F9" w14:textId="145FC407" w:rsidR="001C14E6" w:rsidRPr="0002189F" w:rsidRDefault="001C14E6" w:rsidP="0002189F">
      <w:pPr>
        <w:pStyle w:val="Bezatstarpm"/>
        <w:spacing w:line="23" w:lineRule="atLeast"/>
        <w:rPr>
          <w:i/>
          <w:iCs/>
          <w:sz w:val="22"/>
          <w:lang w:val="lv-LV"/>
        </w:rPr>
      </w:pPr>
    </w:p>
    <w:p w14:paraId="38EFF0F3" w14:textId="0873D719" w:rsidR="00D37E7A" w:rsidRPr="0002189F" w:rsidRDefault="00D37E7A" w:rsidP="0002189F">
      <w:pPr>
        <w:pStyle w:val="Bezatstarpm"/>
        <w:spacing w:line="23" w:lineRule="atLeast"/>
        <w:rPr>
          <w:sz w:val="22"/>
          <w:lang w:val="lv-LV"/>
        </w:rPr>
      </w:pPr>
      <w:r w:rsidRPr="0002189F">
        <w:rPr>
          <w:sz w:val="22"/>
          <w:lang w:val="lv-LV"/>
        </w:rPr>
        <w:t xml:space="preserve">Vienlaikus Tieslietu ministrija izsaka šādu </w:t>
      </w:r>
      <w:r w:rsidRPr="0002189F">
        <w:rPr>
          <w:b/>
          <w:bCs/>
          <w:sz w:val="22"/>
          <w:lang w:val="lv-LV"/>
        </w:rPr>
        <w:t>priekšlikumu:</w:t>
      </w:r>
      <w:r w:rsidRPr="0002189F">
        <w:rPr>
          <w:sz w:val="22"/>
          <w:lang w:val="lv-LV"/>
        </w:rPr>
        <w:t xml:space="preserve"> </w:t>
      </w:r>
    </w:p>
    <w:p w14:paraId="76ED8B4D" w14:textId="568357B9" w:rsidR="00D37E7A" w:rsidRPr="0002189F" w:rsidRDefault="00D37E7A" w:rsidP="0002189F">
      <w:pPr>
        <w:pStyle w:val="Bezatstarpm"/>
        <w:spacing w:line="23" w:lineRule="atLeast"/>
        <w:ind w:firstLine="567"/>
        <w:jc w:val="both"/>
        <w:rPr>
          <w:bCs/>
          <w:iCs/>
          <w:sz w:val="22"/>
          <w:lang w:val="lv-LV"/>
        </w:rPr>
      </w:pPr>
      <w:r w:rsidRPr="0002189F">
        <w:rPr>
          <w:bCs/>
          <w:sz w:val="22"/>
          <w:lang w:val="lv-LV"/>
        </w:rPr>
        <w:t xml:space="preserve">Lūdzam likumprojektā lietoto terminu </w:t>
      </w:r>
      <w:r w:rsidRPr="0002189F">
        <w:rPr>
          <w:bCs/>
          <w:iCs/>
          <w:sz w:val="22"/>
          <w:lang w:val="lv-LV"/>
        </w:rPr>
        <w:t>"soda nauda" aizstāt ar sodu tiesībās ierasto terminu "naudas sods". Kā norādīts juridiskajā literatūrā, šobrīd vairs nav ne praktiskas, ne teorētiskas nozīmes vienu un to pašu institūtu – valsts institūcijas piemērotu pienākumu maksāt naudu par tiesību normas pārkāpšanu – dēvēt atšķirīgi</w:t>
      </w:r>
      <w:r w:rsidRPr="0002189F">
        <w:rPr>
          <w:bCs/>
          <w:i/>
          <w:sz w:val="22"/>
          <w:lang w:val="lv-LV"/>
        </w:rPr>
        <w:t xml:space="preserve"> </w:t>
      </w:r>
      <w:proofErr w:type="gramStart"/>
      <w:r w:rsidRPr="0002189F">
        <w:rPr>
          <w:bCs/>
          <w:i/>
          <w:sz w:val="22"/>
          <w:lang w:val="lv-LV"/>
        </w:rPr>
        <w:t>(</w:t>
      </w:r>
      <w:proofErr w:type="spellStart"/>
      <w:proofErr w:type="gramEnd"/>
      <w:r w:rsidRPr="0002189F">
        <w:rPr>
          <w:bCs/>
          <w:i/>
          <w:sz w:val="22"/>
          <w:lang w:val="lv-LV"/>
        </w:rPr>
        <w:t>Danovskis</w:t>
      </w:r>
      <w:proofErr w:type="spellEnd"/>
      <w:r w:rsidRPr="0002189F">
        <w:rPr>
          <w:bCs/>
          <w:i/>
          <w:sz w:val="22"/>
          <w:lang w:val="lv-LV"/>
        </w:rPr>
        <w:t xml:space="preserve"> E. Sodu tiesību principu nozīme administratīvajās tiesībās. </w:t>
      </w:r>
      <w:proofErr w:type="spellStart"/>
      <w:r w:rsidRPr="0002189F">
        <w:rPr>
          <w:bCs/>
          <w:i/>
          <w:sz w:val="22"/>
          <w:lang w:val="lv-LV"/>
        </w:rPr>
        <w:t>Grām</w:t>
      </w:r>
      <w:proofErr w:type="spellEnd"/>
      <w:r w:rsidRPr="0002189F">
        <w:rPr>
          <w:bCs/>
          <w:i/>
          <w:sz w:val="22"/>
          <w:lang w:val="lv-LV"/>
        </w:rPr>
        <w:t>.: Juridisko personu publiski tiesiskā atbildība. Rīga: LU Akadēmiskais apgāds, 2018, 134. lpp.</w:t>
      </w:r>
      <w:r w:rsidRPr="0002189F">
        <w:rPr>
          <w:bCs/>
          <w:iCs/>
          <w:sz w:val="22"/>
          <w:lang w:val="lv-LV"/>
        </w:rPr>
        <w:t xml:space="preserve">). </w:t>
      </w:r>
      <w:proofErr w:type="gramStart"/>
      <w:r w:rsidRPr="0002189F">
        <w:rPr>
          <w:bCs/>
          <w:iCs/>
          <w:sz w:val="22"/>
          <w:lang w:val="lv-LV"/>
        </w:rPr>
        <w:t>Līdzīgu apsvērumu dēļ ieteicams vārdus</w:t>
      </w:r>
      <w:proofErr w:type="gramEnd"/>
      <w:r w:rsidRPr="0002189F">
        <w:rPr>
          <w:bCs/>
          <w:iCs/>
          <w:sz w:val="22"/>
          <w:lang w:val="lv-LV"/>
        </w:rPr>
        <w:t xml:space="preserve"> "uzlikt [sankciju]" vai "izteikt [brīdinājumu]" aizstāt ar vārdu "piemērot".</w:t>
      </w:r>
    </w:p>
    <w:p w14:paraId="765F85C2" w14:textId="77777777" w:rsidR="006C6DF4" w:rsidRPr="0002189F" w:rsidRDefault="006C6DF4" w:rsidP="0002189F">
      <w:pPr>
        <w:spacing w:after="0" w:line="23" w:lineRule="atLeast"/>
        <w:jc w:val="both"/>
        <w:rPr>
          <w:rFonts w:ascii="Times New Roman" w:hAnsi="Times New Roman" w:cs="Times New Roman"/>
          <w:i/>
          <w:iCs/>
          <w:color w:val="272C32"/>
          <w:sz w:val="18"/>
          <w:szCs w:val="18"/>
        </w:rPr>
      </w:pPr>
      <w:r w:rsidRPr="0002189F">
        <w:rPr>
          <w:rFonts w:ascii="Times New Roman" w:hAnsi="Times New Roman" w:cs="Times New Roman"/>
          <w:i/>
          <w:iCs/>
          <w:color w:val="272C32"/>
          <w:sz w:val="18"/>
          <w:szCs w:val="18"/>
        </w:rPr>
        <w:t xml:space="preserve">S. Vilcāns 67036901, </w:t>
      </w:r>
      <w:hyperlink r:id="rId10" w:history="1">
        <w:r w:rsidRPr="0002189F">
          <w:rPr>
            <w:rStyle w:val="Hipersaite"/>
            <w:rFonts w:ascii="Times New Roman" w:hAnsi="Times New Roman" w:cs="Times New Roman"/>
            <w:i/>
            <w:iCs/>
            <w:color w:val="auto"/>
            <w:sz w:val="18"/>
            <w:szCs w:val="18"/>
            <w:u w:val="none"/>
            <w:bdr w:val="none" w:sz="0" w:space="0" w:color="auto" w:frame="1"/>
          </w:rPr>
          <w:t>sandis.vilcans@tm.gov.lv</w:t>
        </w:r>
      </w:hyperlink>
    </w:p>
    <w:p w14:paraId="5F0F9F8A" w14:textId="77777777" w:rsidR="00D37E7A" w:rsidRPr="0002189F" w:rsidRDefault="00D37E7A" w:rsidP="0002189F">
      <w:pPr>
        <w:pStyle w:val="Bezatstarpm"/>
        <w:spacing w:line="23" w:lineRule="atLeast"/>
        <w:rPr>
          <w:sz w:val="22"/>
          <w:lang w:val="lv-LV"/>
        </w:rPr>
      </w:pPr>
    </w:p>
    <w:sectPr w:rsidR="00D37E7A" w:rsidRPr="0002189F">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42C43A" w14:textId="77777777" w:rsidR="00D02EE6" w:rsidRDefault="00D02EE6" w:rsidP="00AF1EAD">
      <w:pPr>
        <w:spacing w:after="0" w:line="240" w:lineRule="auto"/>
      </w:pPr>
      <w:r>
        <w:separator/>
      </w:r>
    </w:p>
  </w:endnote>
  <w:endnote w:type="continuationSeparator" w:id="0">
    <w:p w14:paraId="311A313F" w14:textId="77777777" w:rsidR="00D02EE6" w:rsidRDefault="00D02EE6" w:rsidP="00AF1E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9C39B" w14:textId="77777777" w:rsidR="00D02EE6" w:rsidRDefault="00D02EE6" w:rsidP="00AF1EAD">
      <w:pPr>
        <w:spacing w:after="0" w:line="240" w:lineRule="auto"/>
      </w:pPr>
      <w:r>
        <w:separator/>
      </w:r>
    </w:p>
  </w:footnote>
  <w:footnote w:type="continuationSeparator" w:id="0">
    <w:p w14:paraId="65DEB917" w14:textId="77777777" w:rsidR="00D02EE6" w:rsidRDefault="00D02EE6" w:rsidP="00AF1E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B10461"/>
    <w:multiLevelType w:val="hybridMultilevel"/>
    <w:tmpl w:val="AB74337A"/>
    <w:lvl w:ilvl="0" w:tplc="CD667B32">
      <w:start w:val="1"/>
      <w:numFmt w:val="decimal"/>
      <w:lvlText w:val="%1."/>
      <w:lvlJc w:val="left"/>
      <w:pPr>
        <w:ind w:left="1080" w:hanging="360"/>
      </w:pPr>
    </w:lvl>
    <w:lvl w:ilvl="1" w:tplc="04260019">
      <w:start w:val="1"/>
      <w:numFmt w:val="lowerLetter"/>
      <w:lvlText w:val="%2."/>
      <w:lvlJc w:val="left"/>
      <w:pPr>
        <w:ind w:left="1800" w:hanging="360"/>
      </w:pPr>
    </w:lvl>
    <w:lvl w:ilvl="2" w:tplc="0426001B">
      <w:start w:val="1"/>
      <w:numFmt w:val="lowerRoman"/>
      <w:lvlText w:val="%3."/>
      <w:lvlJc w:val="right"/>
      <w:pPr>
        <w:ind w:left="2520" w:hanging="180"/>
      </w:pPr>
    </w:lvl>
    <w:lvl w:ilvl="3" w:tplc="0426000F">
      <w:start w:val="1"/>
      <w:numFmt w:val="decimal"/>
      <w:lvlText w:val="%4."/>
      <w:lvlJc w:val="left"/>
      <w:pPr>
        <w:ind w:left="3240" w:hanging="360"/>
      </w:pPr>
    </w:lvl>
    <w:lvl w:ilvl="4" w:tplc="04260019">
      <w:start w:val="1"/>
      <w:numFmt w:val="lowerLetter"/>
      <w:lvlText w:val="%5."/>
      <w:lvlJc w:val="left"/>
      <w:pPr>
        <w:ind w:left="3960" w:hanging="360"/>
      </w:pPr>
    </w:lvl>
    <w:lvl w:ilvl="5" w:tplc="0426001B">
      <w:start w:val="1"/>
      <w:numFmt w:val="lowerRoman"/>
      <w:lvlText w:val="%6."/>
      <w:lvlJc w:val="right"/>
      <w:pPr>
        <w:ind w:left="4680" w:hanging="180"/>
      </w:pPr>
    </w:lvl>
    <w:lvl w:ilvl="6" w:tplc="0426000F">
      <w:start w:val="1"/>
      <w:numFmt w:val="decimal"/>
      <w:lvlText w:val="%7."/>
      <w:lvlJc w:val="left"/>
      <w:pPr>
        <w:ind w:left="5400" w:hanging="360"/>
      </w:pPr>
    </w:lvl>
    <w:lvl w:ilvl="7" w:tplc="04260019">
      <w:start w:val="1"/>
      <w:numFmt w:val="lowerLetter"/>
      <w:lvlText w:val="%8."/>
      <w:lvlJc w:val="left"/>
      <w:pPr>
        <w:ind w:left="6120" w:hanging="360"/>
      </w:pPr>
    </w:lvl>
    <w:lvl w:ilvl="8" w:tplc="0426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B6E"/>
    <w:rsid w:val="00000D94"/>
    <w:rsid w:val="00010E90"/>
    <w:rsid w:val="00020D53"/>
    <w:rsid w:val="0002189F"/>
    <w:rsid w:val="000232B8"/>
    <w:rsid w:val="000576A9"/>
    <w:rsid w:val="00096036"/>
    <w:rsid w:val="000B1059"/>
    <w:rsid w:val="000C5CAA"/>
    <w:rsid w:val="000C6C7A"/>
    <w:rsid w:val="00100E7A"/>
    <w:rsid w:val="00121CAA"/>
    <w:rsid w:val="00144EAC"/>
    <w:rsid w:val="00166B7E"/>
    <w:rsid w:val="001B4F8B"/>
    <w:rsid w:val="001C14E6"/>
    <w:rsid w:val="001D57AE"/>
    <w:rsid w:val="001F5610"/>
    <w:rsid w:val="0021032E"/>
    <w:rsid w:val="00244560"/>
    <w:rsid w:val="00267BB3"/>
    <w:rsid w:val="002732BF"/>
    <w:rsid w:val="00273D12"/>
    <w:rsid w:val="002B745C"/>
    <w:rsid w:val="002C0920"/>
    <w:rsid w:val="0039193D"/>
    <w:rsid w:val="003B1FD1"/>
    <w:rsid w:val="003B5CC8"/>
    <w:rsid w:val="003F0215"/>
    <w:rsid w:val="00404B64"/>
    <w:rsid w:val="00415CF0"/>
    <w:rsid w:val="00434DBC"/>
    <w:rsid w:val="00436F84"/>
    <w:rsid w:val="00447C67"/>
    <w:rsid w:val="004932C6"/>
    <w:rsid w:val="004B6A89"/>
    <w:rsid w:val="00513C67"/>
    <w:rsid w:val="00516483"/>
    <w:rsid w:val="00522C67"/>
    <w:rsid w:val="00526BEE"/>
    <w:rsid w:val="00540838"/>
    <w:rsid w:val="00584B4E"/>
    <w:rsid w:val="00586F57"/>
    <w:rsid w:val="005A0055"/>
    <w:rsid w:val="005D430E"/>
    <w:rsid w:val="005D51D6"/>
    <w:rsid w:val="00603F63"/>
    <w:rsid w:val="00612539"/>
    <w:rsid w:val="00625937"/>
    <w:rsid w:val="006472AD"/>
    <w:rsid w:val="00680973"/>
    <w:rsid w:val="00682FD9"/>
    <w:rsid w:val="006A042A"/>
    <w:rsid w:val="006A458C"/>
    <w:rsid w:val="006B0CC1"/>
    <w:rsid w:val="006C6260"/>
    <w:rsid w:val="006C6312"/>
    <w:rsid w:val="006C6DF4"/>
    <w:rsid w:val="0071020B"/>
    <w:rsid w:val="007149E1"/>
    <w:rsid w:val="0078547F"/>
    <w:rsid w:val="007869A6"/>
    <w:rsid w:val="0079503B"/>
    <w:rsid w:val="007A7F2C"/>
    <w:rsid w:val="007C0D62"/>
    <w:rsid w:val="007D4D94"/>
    <w:rsid w:val="007E6178"/>
    <w:rsid w:val="00802C00"/>
    <w:rsid w:val="00813BEF"/>
    <w:rsid w:val="0084321B"/>
    <w:rsid w:val="00855B38"/>
    <w:rsid w:val="00887693"/>
    <w:rsid w:val="008C2EA2"/>
    <w:rsid w:val="008D2DD5"/>
    <w:rsid w:val="008D5E39"/>
    <w:rsid w:val="008E243E"/>
    <w:rsid w:val="009354F3"/>
    <w:rsid w:val="00953FE2"/>
    <w:rsid w:val="00975DD6"/>
    <w:rsid w:val="009865CD"/>
    <w:rsid w:val="009B4BF1"/>
    <w:rsid w:val="009C03C2"/>
    <w:rsid w:val="009D5E3B"/>
    <w:rsid w:val="00A023B5"/>
    <w:rsid w:val="00A2090A"/>
    <w:rsid w:val="00A250DC"/>
    <w:rsid w:val="00A318CA"/>
    <w:rsid w:val="00A40D08"/>
    <w:rsid w:val="00A6100D"/>
    <w:rsid w:val="00A729E8"/>
    <w:rsid w:val="00A8235E"/>
    <w:rsid w:val="00AA1064"/>
    <w:rsid w:val="00AC6CE2"/>
    <w:rsid w:val="00AD5A53"/>
    <w:rsid w:val="00AF1EAD"/>
    <w:rsid w:val="00B20F95"/>
    <w:rsid w:val="00B82571"/>
    <w:rsid w:val="00B84D64"/>
    <w:rsid w:val="00B84FFC"/>
    <w:rsid w:val="00B96F0C"/>
    <w:rsid w:val="00BB7766"/>
    <w:rsid w:val="00BC1E79"/>
    <w:rsid w:val="00BC2086"/>
    <w:rsid w:val="00BD01FB"/>
    <w:rsid w:val="00C80034"/>
    <w:rsid w:val="00CA657F"/>
    <w:rsid w:val="00CB62EA"/>
    <w:rsid w:val="00CC5D96"/>
    <w:rsid w:val="00CD0B11"/>
    <w:rsid w:val="00CD53DD"/>
    <w:rsid w:val="00D02EE6"/>
    <w:rsid w:val="00D37E7A"/>
    <w:rsid w:val="00D458CB"/>
    <w:rsid w:val="00D473F0"/>
    <w:rsid w:val="00D51884"/>
    <w:rsid w:val="00D95DBB"/>
    <w:rsid w:val="00DF69C6"/>
    <w:rsid w:val="00E2635D"/>
    <w:rsid w:val="00E27F87"/>
    <w:rsid w:val="00E957DC"/>
    <w:rsid w:val="00E96BB9"/>
    <w:rsid w:val="00EB508F"/>
    <w:rsid w:val="00EC15B1"/>
    <w:rsid w:val="00EE0765"/>
    <w:rsid w:val="00F07633"/>
    <w:rsid w:val="00F35585"/>
    <w:rsid w:val="00F435D8"/>
    <w:rsid w:val="00F605CF"/>
    <w:rsid w:val="00F70DF1"/>
    <w:rsid w:val="00F87F1F"/>
    <w:rsid w:val="00FA09F6"/>
    <w:rsid w:val="00FD5B6E"/>
    <w:rsid w:val="00FF34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F9DC5"/>
  <w15:chartTrackingRefBased/>
  <w15:docId w15:val="{4E8B6DEF-D51C-4567-A753-FF1F61072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F1EAD"/>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Vresteksts">
    <w:name w:val="footnote text"/>
    <w:basedOn w:val="Parasts"/>
    <w:link w:val="VrestekstsRakstz"/>
    <w:uiPriority w:val="99"/>
    <w:rsid w:val="00AF1EAD"/>
    <w:pPr>
      <w:spacing w:after="0" w:line="240" w:lineRule="auto"/>
      <w:jc w:val="both"/>
    </w:pPr>
    <w:rPr>
      <w:rFonts w:ascii="Times New Roman" w:eastAsiaTheme="minorEastAsia" w:hAnsi="Times New Roman" w:cs="Times New Roman"/>
      <w:sz w:val="20"/>
      <w:szCs w:val="20"/>
    </w:rPr>
  </w:style>
  <w:style w:type="character" w:customStyle="1" w:styleId="VrestekstsRakstz">
    <w:name w:val="Vēres teksts Rakstz."/>
    <w:basedOn w:val="Noklusjumarindkopasfonts"/>
    <w:link w:val="Vresteksts"/>
    <w:uiPriority w:val="99"/>
    <w:rsid w:val="00AF1EAD"/>
    <w:rPr>
      <w:rFonts w:ascii="Times New Roman" w:eastAsiaTheme="minorEastAsia" w:hAnsi="Times New Roman" w:cs="Times New Roman"/>
      <w:sz w:val="20"/>
      <w:szCs w:val="20"/>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uiPriority w:val="99"/>
    <w:unhideWhenUsed/>
    <w:rsid w:val="00AF1EAD"/>
    <w:rPr>
      <w:vertAlign w:val="superscript"/>
    </w:rPr>
  </w:style>
  <w:style w:type="paragraph" w:customStyle="1" w:styleId="naisc">
    <w:name w:val="naisc"/>
    <w:basedOn w:val="Parasts"/>
    <w:rsid w:val="00AF1EAD"/>
    <w:pPr>
      <w:spacing w:before="75" w:after="75" w:line="240" w:lineRule="auto"/>
      <w:jc w:val="center"/>
    </w:pPr>
    <w:rPr>
      <w:rFonts w:ascii="Times New Roman" w:eastAsia="Times New Roman" w:hAnsi="Times New Roman" w:cs="Times New Roman"/>
      <w:sz w:val="24"/>
      <w:szCs w:val="24"/>
      <w:lang w:eastAsia="lv-LV"/>
    </w:rPr>
  </w:style>
  <w:style w:type="character" w:styleId="Hipersaite">
    <w:name w:val="Hyperlink"/>
    <w:basedOn w:val="Noklusjumarindkopasfonts"/>
    <w:uiPriority w:val="99"/>
    <w:unhideWhenUsed/>
    <w:rsid w:val="006C6260"/>
    <w:rPr>
      <w:color w:val="0000FF"/>
      <w:u w:val="single"/>
    </w:rPr>
  </w:style>
  <w:style w:type="paragraph" w:styleId="Sarakstarindkopa">
    <w:name w:val="List Paragraph"/>
    <w:basedOn w:val="Parasts"/>
    <w:uiPriority w:val="34"/>
    <w:qFormat/>
    <w:rsid w:val="00166B7E"/>
    <w:pPr>
      <w:spacing w:after="0" w:line="240" w:lineRule="auto"/>
      <w:ind w:left="720"/>
    </w:pPr>
    <w:rPr>
      <w:rFonts w:ascii="Calibri" w:hAnsi="Calibri" w:cs="Times New Roman"/>
    </w:rPr>
  </w:style>
  <w:style w:type="character" w:styleId="Neatrisintapieminana">
    <w:name w:val="Unresolved Mention"/>
    <w:basedOn w:val="Noklusjumarindkopasfonts"/>
    <w:uiPriority w:val="99"/>
    <w:semiHidden/>
    <w:unhideWhenUsed/>
    <w:rsid w:val="006A458C"/>
    <w:rPr>
      <w:color w:val="605E5C"/>
      <w:shd w:val="clear" w:color="auto" w:fill="E1DFDD"/>
    </w:rPr>
  </w:style>
  <w:style w:type="paragraph" w:styleId="Paraststmeklis">
    <w:name w:val="Normal (Web)"/>
    <w:basedOn w:val="Parasts"/>
    <w:uiPriority w:val="99"/>
    <w:rsid w:val="0079503B"/>
    <w:pPr>
      <w:spacing w:before="75" w:after="75" w:line="240" w:lineRule="auto"/>
    </w:pPr>
    <w:rPr>
      <w:rFonts w:ascii="Times New Roman" w:eastAsia="Times New Roman" w:hAnsi="Times New Roman" w:cs="Times New Roman"/>
      <w:sz w:val="24"/>
      <w:szCs w:val="24"/>
      <w:lang w:eastAsia="lv-LV"/>
    </w:rPr>
  </w:style>
  <w:style w:type="paragraph" w:styleId="Bezatstarpm">
    <w:name w:val="No Spacing"/>
    <w:uiPriority w:val="1"/>
    <w:qFormat/>
    <w:rsid w:val="0079503B"/>
    <w:pPr>
      <w:widowControl w:val="0"/>
      <w:spacing w:after="0" w:line="240" w:lineRule="auto"/>
    </w:pPr>
    <w:rPr>
      <w:rFonts w:ascii="Times New Roman" w:eastAsia="Calibri" w:hAnsi="Times New Roman" w:cs="Times New Roman"/>
      <w:sz w:val="24"/>
      <w:lang w:val="en-US"/>
    </w:rPr>
  </w:style>
  <w:style w:type="paragraph" w:customStyle="1" w:styleId="xmsonospacing">
    <w:name w:val="x_msonospacing"/>
    <w:basedOn w:val="Parasts"/>
    <w:rsid w:val="005D430E"/>
    <w:pPr>
      <w:spacing w:before="100" w:beforeAutospacing="1" w:after="100" w:afterAutospacing="1" w:line="240" w:lineRule="auto"/>
    </w:pPr>
    <w:rPr>
      <w:rFonts w:ascii="Times New Roman" w:eastAsia="Times New Roman" w:hAnsi="Times New Roman" w:cs="Times New Roman"/>
      <w:sz w:val="24"/>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654297">
      <w:bodyDiv w:val="1"/>
      <w:marLeft w:val="0"/>
      <w:marRight w:val="0"/>
      <w:marTop w:val="0"/>
      <w:marBottom w:val="0"/>
      <w:divBdr>
        <w:top w:val="none" w:sz="0" w:space="0" w:color="auto"/>
        <w:left w:val="none" w:sz="0" w:space="0" w:color="auto"/>
        <w:bottom w:val="none" w:sz="0" w:space="0" w:color="auto"/>
        <w:right w:val="none" w:sz="0" w:space="0" w:color="auto"/>
      </w:divBdr>
    </w:div>
    <w:div w:id="199126719">
      <w:bodyDiv w:val="1"/>
      <w:marLeft w:val="0"/>
      <w:marRight w:val="0"/>
      <w:marTop w:val="0"/>
      <w:marBottom w:val="0"/>
      <w:divBdr>
        <w:top w:val="none" w:sz="0" w:space="0" w:color="auto"/>
        <w:left w:val="none" w:sz="0" w:space="0" w:color="auto"/>
        <w:bottom w:val="none" w:sz="0" w:space="0" w:color="auto"/>
        <w:right w:val="none" w:sz="0" w:space="0" w:color="auto"/>
      </w:divBdr>
    </w:div>
    <w:div w:id="432669349">
      <w:bodyDiv w:val="1"/>
      <w:marLeft w:val="0"/>
      <w:marRight w:val="0"/>
      <w:marTop w:val="0"/>
      <w:marBottom w:val="0"/>
      <w:divBdr>
        <w:top w:val="none" w:sz="0" w:space="0" w:color="auto"/>
        <w:left w:val="none" w:sz="0" w:space="0" w:color="auto"/>
        <w:bottom w:val="none" w:sz="0" w:space="0" w:color="auto"/>
        <w:right w:val="none" w:sz="0" w:space="0" w:color="auto"/>
      </w:divBdr>
    </w:div>
    <w:div w:id="718943841">
      <w:bodyDiv w:val="1"/>
      <w:marLeft w:val="0"/>
      <w:marRight w:val="0"/>
      <w:marTop w:val="0"/>
      <w:marBottom w:val="0"/>
      <w:divBdr>
        <w:top w:val="none" w:sz="0" w:space="0" w:color="auto"/>
        <w:left w:val="none" w:sz="0" w:space="0" w:color="auto"/>
        <w:bottom w:val="none" w:sz="0" w:space="0" w:color="auto"/>
        <w:right w:val="none" w:sz="0" w:space="0" w:color="auto"/>
      </w:divBdr>
    </w:div>
    <w:div w:id="731582943">
      <w:bodyDiv w:val="1"/>
      <w:marLeft w:val="0"/>
      <w:marRight w:val="0"/>
      <w:marTop w:val="0"/>
      <w:marBottom w:val="0"/>
      <w:divBdr>
        <w:top w:val="none" w:sz="0" w:space="0" w:color="auto"/>
        <w:left w:val="none" w:sz="0" w:space="0" w:color="auto"/>
        <w:bottom w:val="none" w:sz="0" w:space="0" w:color="auto"/>
        <w:right w:val="none" w:sz="0" w:space="0" w:color="auto"/>
      </w:divBdr>
    </w:div>
    <w:div w:id="741677984">
      <w:bodyDiv w:val="1"/>
      <w:marLeft w:val="0"/>
      <w:marRight w:val="0"/>
      <w:marTop w:val="0"/>
      <w:marBottom w:val="0"/>
      <w:divBdr>
        <w:top w:val="none" w:sz="0" w:space="0" w:color="auto"/>
        <w:left w:val="none" w:sz="0" w:space="0" w:color="auto"/>
        <w:bottom w:val="none" w:sz="0" w:space="0" w:color="auto"/>
        <w:right w:val="none" w:sz="0" w:space="0" w:color="auto"/>
      </w:divBdr>
    </w:div>
    <w:div w:id="794909851">
      <w:bodyDiv w:val="1"/>
      <w:marLeft w:val="0"/>
      <w:marRight w:val="0"/>
      <w:marTop w:val="0"/>
      <w:marBottom w:val="0"/>
      <w:divBdr>
        <w:top w:val="none" w:sz="0" w:space="0" w:color="auto"/>
        <w:left w:val="none" w:sz="0" w:space="0" w:color="auto"/>
        <w:bottom w:val="none" w:sz="0" w:space="0" w:color="auto"/>
        <w:right w:val="none" w:sz="0" w:space="0" w:color="auto"/>
      </w:divBdr>
    </w:div>
    <w:div w:id="939993788">
      <w:bodyDiv w:val="1"/>
      <w:marLeft w:val="0"/>
      <w:marRight w:val="0"/>
      <w:marTop w:val="0"/>
      <w:marBottom w:val="0"/>
      <w:divBdr>
        <w:top w:val="none" w:sz="0" w:space="0" w:color="auto"/>
        <w:left w:val="none" w:sz="0" w:space="0" w:color="auto"/>
        <w:bottom w:val="none" w:sz="0" w:space="0" w:color="auto"/>
        <w:right w:val="none" w:sz="0" w:space="0" w:color="auto"/>
      </w:divBdr>
    </w:div>
    <w:div w:id="1049035233">
      <w:bodyDiv w:val="1"/>
      <w:marLeft w:val="0"/>
      <w:marRight w:val="0"/>
      <w:marTop w:val="0"/>
      <w:marBottom w:val="0"/>
      <w:divBdr>
        <w:top w:val="none" w:sz="0" w:space="0" w:color="auto"/>
        <w:left w:val="none" w:sz="0" w:space="0" w:color="auto"/>
        <w:bottom w:val="none" w:sz="0" w:space="0" w:color="auto"/>
        <w:right w:val="none" w:sz="0" w:space="0" w:color="auto"/>
      </w:divBdr>
    </w:div>
    <w:div w:id="1380132800">
      <w:bodyDiv w:val="1"/>
      <w:marLeft w:val="0"/>
      <w:marRight w:val="0"/>
      <w:marTop w:val="0"/>
      <w:marBottom w:val="0"/>
      <w:divBdr>
        <w:top w:val="none" w:sz="0" w:space="0" w:color="auto"/>
        <w:left w:val="none" w:sz="0" w:space="0" w:color="auto"/>
        <w:bottom w:val="none" w:sz="0" w:space="0" w:color="auto"/>
        <w:right w:val="none" w:sz="0" w:space="0" w:color="auto"/>
      </w:divBdr>
      <w:divsChild>
        <w:div w:id="1609851729">
          <w:marLeft w:val="0"/>
          <w:marRight w:val="0"/>
          <w:marTop w:val="0"/>
          <w:marBottom w:val="105"/>
          <w:divBdr>
            <w:top w:val="none" w:sz="0" w:space="0" w:color="auto"/>
            <w:left w:val="none" w:sz="0" w:space="0" w:color="auto"/>
            <w:bottom w:val="none" w:sz="0" w:space="0" w:color="auto"/>
            <w:right w:val="none" w:sz="0" w:space="0" w:color="auto"/>
          </w:divBdr>
        </w:div>
        <w:div w:id="921838570">
          <w:marLeft w:val="0"/>
          <w:marRight w:val="450"/>
          <w:marTop w:val="150"/>
          <w:marBottom w:val="0"/>
          <w:divBdr>
            <w:top w:val="none" w:sz="0" w:space="0" w:color="auto"/>
            <w:left w:val="none" w:sz="0" w:space="0" w:color="auto"/>
            <w:bottom w:val="none" w:sz="0" w:space="0" w:color="auto"/>
            <w:right w:val="none" w:sz="0" w:space="0" w:color="auto"/>
          </w:divBdr>
          <w:divsChild>
            <w:div w:id="926306607">
              <w:marLeft w:val="0"/>
              <w:marRight w:val="0"/>
              <w:marTop w:val="0"/>
              <w:marBottom w:val="30"/>
              <w:divBdr>
                <w:top w:val="none" w:sz="0" w:space="0" w:color="auto"/>
                <w:left w:val="none" w:sz="0" w:space="0" w:color="auto"/>
                <w:bottom w:val="none" w:sz="0" w:space="0" w:color="auto"/>
                <w:right w:val="none" w:sz="0" w:space="0" w:color="auto"/>
              </w:divBdr>
            </w:div>
            <w:div w:id="51265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600108">
      <w:bodyDiv w:val="1"/>
      <w:marLeft w:val="0"/>
      <w:marRight w:val="0"/>
      <w:marTop w:val="0"/>
      <w:marBottom w:val="0"/>
      <w:divBdr>
        <w:top w:val="none" w:sz="0" w:space="0" w:color="auto"/>
        <w:left w:val="none" w:sz="0" w:space="0" w:color="auto"/>
        <w:bottom w:val="none" w:sz="0" w:space="0" w:color="auto"/>
        <w:right w:val="none" w:sz="0" w:space="0" w:color="auto"/>
      </w:divBdr>
    </w:div>
    <w:div w:id="1605380830">
      <w:bodyDiv w:val="1"/>
      <w:marLeft w:val="0"/>
      <w:marRight w:val="0"/>
      <w:marTop w:val="0"/>
      <w:marBottom w:val="0"/>
      <w:divBdr>
        <w:top w:val="none" w:sz="0" w:space="0" w:color="auto"/>
        <w:left w:val="none" w:sz="0" w:space="0" w:color="auto"/>
        <w:bottom w:val="none" w:sz="0" w:space="0" w:color="auto"/>
        <w:right w:val="none" w:sz="0" w:space="0" w:color="auto"/>
      </w:divBdr>
    </w:div>
    <w:div w:id="1786388600">
      <w:bodyDiv w:val="1"/>
      <w:marLeft w:val="0"/>
      <w:marRight w:val="0"/>
      <w:marTop w:val="0"/>
      <w:marBottom w:val="0"/>
      <w:divBdr>
        <w:top w:val="none" w:sz="0" w:space="0" w:color="auto"/>
        <w:left w:val="none" w:sz="0" w:space="0" w:color="auto"/>
        <w:bottom w:val="none" w:sz="0" w:space="0" w:color="auto"/>
        <w:right w:val="none" w:sz="0" w:space="0" w:color="auto"/>
      </w:divBdr>
      <w:divsChild>
        <w:div w:id="87045200">
          <w:marLeft w:val="0"/>
          <w:marRight w:val="0"/>
          <w:marTop w:val="0"/>
          <w:marBottom w:val="0"/>
          <w:divBdr>
            <w:top w:val="none" w:sz="0" w:space="0" w:color="auto"/>
            <w:left w:val="none" w:sz="0" w:space="0" w:color="auto"/>
            <w:bottom w:val="none" w:sz="0" w:space="0" w:color="auto"/>
            <w:right w:val="none" w:sz="0" w:space="0" w:color="auto"/>
          </w:divBdr>
          <w:divsChild>
            <w:div w:id="872840491">
              <w:marLeft w:val="0"/>
              <w:marRight w:val="0"/>
              <w:marTop w:val="0"/>
              <w:marBottom w:val="0"/>
              <w:divBdr>
                <w:top w:val="none" w:sz="0" w:space="0" w:color="auto"/>
                <w:left w:val="none" w:sz="0" w:space="0" w:color="auto"/>
                <w:bottom w:val="none" w:sz="0" w:space="0" w:color="auto"/>
                <w:right w:val="none" w:sz="0" w:space="0" w:color="auto"/>
              </w:divBdr>
              <w:divsChild>
                <w:div w:id="1745956181">
                  <w:marLeft w:val="0"/>
                  <w:marRight w:val="0"/>
                  <w:marTop w:val="0"/>
                  <w:marBottom w:val="0"/>
                  <w:divBdr>
                    <w:top w:val="none" w:sz="0" w:space="0" w:color="auto"/>
                    <w:left w:val="none" w:sz="0" w:space="0" w:color="auto"/>
                    <w:bottom w:val="none" w:sz="0" w:space="0" w:color="auto"/>
                    <w:right w:val="none" w:sz="0" w:space="0" w:color="auto"/>
                  </w:divBdr>
                  <w:divsChild>
                    <w:div w:id="1131171868">
                      <w:marLeft w:val="0"/>
                      <w:marRight w:val="0"/>
                      <w:marTop w:val="0"/>
                      <w:marBottom w:val="0"/>
                      <w:divBdr>
                        <w:top w:val="none" w:sz="0" w:space="0" w:color="auto"/>
                        <w:left w:val="none" w:sz="0" w:space="0" w:color="auto"/>
                        <w:bottom w:val="none" w:sz="0" w:space="0" w:color="auto"/>
                        <w:right w:val="none" w:sz="0" w:space="0" w:color="auto"/>
                      </w:divBdr>
                      <w:divsChild>
                        <w:div w:id="82300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415319">
              <w:marLeft w:val="0"/>
              <w:marRight w:val="0"/>
              <w:marTop w:val="0"/>
              <w:marBottom w:val="0"/>
              <w:divBdr>
                <w:top w:val="none" w:sz="0" w:space="0" w:color="auto"/>
                <w:left w:val="none" w:sz="0" w:space="0" w:color="auto"/>
                <w:bottom w:val="none" w:sz="0" w:space="0" w:color="auto"/>
                <w:right w:val="none" w:sz="0" w:space="0" w:color="auto"/>
              </w:divBdr>
            </w:div>
            <w:div w:id="2114326279">
              <w:marLeft w:val="0"/>
              <w:marRight w:val="0"/>
              <w:marTop w:val="0"/>
              <w:marBottom w:val="0"/>
              <w:divBdr>
                <w:top w:val="none" w:sz="0" w:space="0" w:color="auto"/>
                <w:left w:val="none" w:sz="0" w:space="0" w:color="auto"/>
                <w:bottom w:val="none" w:sz="0" w:space="0" w:color="auto"/>
                <w:right w:val="none" w:sz="0" w:space="0" w:color="auto"/>
              </w:divBdr>
              <w:divsChild>
                <w:div w:id="591662765">
                  <w:marLeft w:val="0"/>
                  <w:marRight w:val="0"/>
                  <w:marTop w:val="0"/>
                  <w:marBottom w:val="0"/>
                  <w:divBdr>
                    <w:top w:val="none" w:sz="0" w:space="0" w:color="auto"/>
                    <w:left w:val="none" w:sz="0" w:space="0" w:color="auto"/>
                    <w:bottom w:val="none" w:sz="0" w:space="0" w:color="auto"/>
                    <w:right w:val="none" w:sz="0" w:space="0" w:color="auto"/>
                  </w:divBdr>
                  <w:divsChild>
                    <w:div w:id="504827445">
                      <w:marLeft w:val="0"/>
                      <w:marRight w:val="0"/>
                      <w:marTop w:val="0"/>
                      <w:marBottom w:val="0"/>
                      <w:divBdr>
                        <w:top w:val="none" w:sz="0" w:space="0" w:color="auto"/>
                        <w:left w:val="none" w:sz="0" w:space="0" w:color="auto"/>
                        <w:bottom w:val="none" w:sz="0" w:space="0" w:color="auto"/>
                        <w:right w:val="none" w:sz="0" w:space="0" w:color="auto"/>
                      </w:divBdr>
                      <w:divsChild>
                        <w:div w:id="1638072684">
                          <w:marLeft w:val="0"/>
                          <w:marRight w:val="0"/>
                          <w:marTop w:val="0"/>
                          <w:marBottom w:val="0"/>
                          <w:divBdr>
                            <w:top w:val="none" w:sz="0" w:space="0" w:color="auto"/>
                            <w:left w:val="none" w:sz="0" w:space="0" w:color="auto"/>
                            <w:bottom w:val="none" w:sz="0" w:space="0" w:color="auto"/>
                            <w:right w:val="none" w:sz="0" w:space="0" w:color="auto"/>
                          </w:divBdr>
                          <w:divsChild>
                            <w:div w:id="948926385">
                              <w:marLeft w:val="0"/>
                              <w:marRight w:val="0"/>
                              <w:marTop w:val="0"/>
                              <w:marBottom w:val="0"/>
                              <w:divBdr>
                                <w:top w:val="none" w:sz="0" w:space="0" w:color="auto"/>
                                <w:left w:val="none" w:sz="0" w:space="0" w:color="auto"/>
                                <w:bottom w:val="none" w:sz="0" w:space="0" w:color="auto"/>
                                <w:right w:val="none" w:sz="0" w:space="0" w:color="auto"/>
                              </w:divBdr>
                              <w:divsChild>
                                <w:div w:id="718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358710">
      <w:bodyDiv w:val="1"/>
      <w:marLeft w:val="0"/>
      <w:marRight w:val="0"/>
      <w:marTop w:val="0"/>
      <w:marBottom w:val="0"/>
      <w:divBdr>
        <w:top w:val="none" w:sz="0" w:space="0" w:color="auto"/>
        <w:left w:val="none" w:sz="0" w:space="0" w:color="auto"/>
        <w:bottom w:val="none" w:sz="0" w:space="0" w:color="auto"/>
        <w:right w:val="none" w:sz="0" w:space="0" w:color="auto"/>
      </w:divBdr>
      <w:divsChild>
        <w:div w:id="577403171">
          <w:marLeft w:val="0"/>
          <w:marRight w:val="0"/>
          <w:marTop w:val="0"/>
          <w:marBottom w:val="0"/>
          <w:divBdr>
            <w:top w:val="none" w:sz="0" w:space="0" w:color="auto"/>
            <w:left w:val="none" w:sz="0" w:space="0" w:color="auto"/>
            <w:bottom w:val="none" w:sz="0" w:space="0" w:color="auto"/>
            <w:right w:val="none" w:sz="0" w:space="0" w:color="auto"/>
          </w:divBdr>
        </w:div>
      </w:divsChild>
    </w:div>
    <w:div w:id="1973558683">
      <w:bodyDiv w:val="1"/>
      <w:marLeft w:val="0"/>
      <w:marRight w:val="0"/>
      <w:marTop w:val="0"/>
      <w:marBottom w:val="0"/>
      <w:divBdr>
        <w:top w:val="none" w:sz="0" w:space="0" w:color="auto"/>
        <w:left w:val="none" w:sz="0" w:space="0" w:color="auto"/>
        <w:bottom w:val="none" w:sz="0" w:space="0" w:color="auto"/>
        <w:right w:val="none" w:sz="0" w:space="0" w:color="auto"/>
      </w:divBdr>
      <w:divsChild>
        <w:div w:id="598222450">
          <w:marLeft w:val="0"/>
          <w:marRight w:val="0"/>
          <w:marTop w:val="0"/>
          <w:marBottom w:val="0"/>
          <w:divBdr>
            <w:top w:val="none" w:sz="0" w:space="0" w:color="auto"/>
            <w:left w:val="none" w:sz="0" w:space="0" w:color="auto"/>
            <w:bottom w:val="none" w:sz="0" w:space="0" w:color="auto"/>
            <w:right w:val="none" w:sz="0" w:space="0" w:color="auto"/>
          </w:divBdr>
        </w:div>
      </w:divsChild>
    </w:div>
    <w:div w:id="2001805726">
      <w:bodyDiv w:val="1"/>
      <w:marLeft w:val="0"/>
      <w:marRight w:val="0"/>
      <w:marTop w:val="0"/>
      <w:marBottom w:val="0"/>
      <w:divBdr>
        <w:top w:val="none" w:sz="0" w:space="0" w:color="auto"/>
        <w:left w:val="none" w:sz="0" w:space="0" w:color="auto"/>
        <w:bottom w:val="none" w:sz="0" w:space="0" w:color="auto"/>
        <w:right w:val="none" w:sz="0" w:space="0" w:color="auto"/>
      </w:divBdr>
    </w:div>
    <w:div w:id="2033797821">
      <w:bodyDiv w:val="1"/>
      <w:marLeft w:val="0"/>
      <w:marRight w:val="0"/>
      <w:marTop w:val="0"/>
      <w:marBottom w:val="0"/>
      <w:divBdr>
        <w:top w:val="none" w:sz="0" w:space="0" w:color="auto"/>
        <w:left w:val="none" w:sz="0" w:space="0" w:color="auto"/>
        <w:bottom w:val="none" w:sz="0" w:space="0" w:color="auto"/>
        <w:right w:val="none" w:sz="0" w:space="0" w:color="auto"/>
      </w:divBdr>
    </w:div>
    <w:div w:id="210313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dis.Vilcans@t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andis.Vilcans@tm.gov.lv" TargetMode="External"/><Relationship Id="rId4" Type="http://schemas.openxmlformats.org/officeDocument/2006/relationships/settings" Target="settings.xml"/><Relationship Id="rId9" Type="http://schemas.openxmlformats.org/officeDocument/2006/relationships/hyperlink" Target="mailto:Sandis.Vilcans@tm.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89730-267F-4680-9EE4-7EFAC1499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408</TotalTime>
  <Pages>7</Pages>
  <Words>17626</Words>
  <Characters>10047</Characters>
  <Application>Microsoft Office Word</Application>
  <DocSecurity>0</DocSecurity>
  <Lines>83</Lines>
  <Paragraphs>55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27618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Gita Daukste</dc:creator>
  <cp:keywords/>
  <dc:description/>
  <cp:lastModifiedBy>Gita Daukste</cp:lastModifiedBy>
  <cp:revision>104</cp:revision>
  <dcterms:created xsi:type="dcterms:W3CDTF">2021-05-07T10:08:00Z</dcterms:created>
  <dcterms:modified xsi:type="dcterms:W3CDTF">2021-06-07T07:23:00Z</dcterms:modified>
</cp:coreProperties>
</file>