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8.1.</w:t>
            </w:r>
            <w:r w:rsidR="00000000" w:rsidRPr="00000000" w:rsidDel="00000000">
              <w:rPr>
                <w:rtl w:val="0"/>
              </w:rPr>
              <w:t xml:space="preserve"> , </w:t>
            </w:r>
            <w:r w:rsidR="00000000" w:rsidRPr="00000000" w:rsidDel="00000000">
              <w:rPr>
                <w:rtl w:val="0"/>
              </w:rPr>
              <w:t xml:space="preserve">8.2.</w:t>
            </w:r>
            <w:r w:rsidR="00000000" w:rsidRPr="00000000" w:rsidDel="00000000">
              <w:rPr>
                <w:rtl w:val="0"/>
              </w:rPr>
              <w:t xml:space="preserve"> ​​​​​​​ vai </w:t>
            </w:r>
            <w:r w:rsidR="00000000" w:rsidRPr="00000000" w:rsidDel="00000000">
              <w:rPr>
                <w:rtl w:val="0"/>
              </w:rPr>
              <w:t xml:space="preserve">8.3.</w:t>
            </w:r>
            <w:r w:rsidR="00000000" w:rsidRPr="00000000" w:rsidDel="00000000">
              <w:rPr>
                <w:rtl w:val="0"/>
              </w:rPr>
              <w:t xml:space="preserve"> ​​​​​​​apakšpunktā minētais transportlīdzeklis ir nozagts, atzīts par bojā gājušu vai tas ir bojāts, tad atbalsta saņēmējs projekta līgumā noteiktās saistības var izpildīt iegādājoties no piesaistītiem vai pašu līdzekļiem atbilstoša veida (elektromobilis vai ārēji lādējams hibrīdauto) jaunu vai lietotu transportlīdzekli.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sagatavotais Ministru kabineta noteikumu projekts “Grozījumi Ministru kabineta 2021. gada 21. decembra noteikumos Nr.896 “Emisijas kvotu izsolīšanas instrumenta finansēto projektu atklāta konkursa "Siltumnīcefekta gāzu emisijas samazināšana transporta sektorā – atbalsts bezemisiju un mazemisiju transportlīdzekļu iegādei” nolikums””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punktā paredzēto Ministru kabineta 2021. gada 21. decembra noteikumu Nr.896 “Emisijas kvotu izsolīšanas instrumenta finansēto projektu atklāta konkursa "Siltumnīcefekta gāzu emisijas samazināšana transporta sektorā – atbalsts bezemisiju un mazemisiju transportlīdzekļu iegādei” nolikums” (turpmāk – noteikumi) 70.</w:t>
            </w:r>
            <w:r w:rsidR="00000000" w:rsidRPr="00000000" w:rsidDel="00000000">
              <w:rPr>
                <w:vertAlign w:val="superscript"/>
                <w:rtl w:val="0"/>
              </w:rPr>
              <w:t xml:space="preserve">1 </w:t>
            </w:r>
            <w:r w:rsidR="00000000" w:rsidRPr="00000000" w:rsidDel="00000000">
              <w:rPr>
                <w:rtl w:val="0"/>
              </w:rPr>
              <w:t xml:space="preserve">punktu, kas paredz papildu nosacījumus noteikumu 8. punkta apakšpunktos esošajam regulējumam, piedāvājam izvērtēt un precizēt. Saskaņā ar Ministru kabineta 2009. gada 3. februāra noteikumu Nr.108 “Normatīvo aktu projektu sagatavošanas noteikumi” 148. punktu prim vienības veido, ja noteikumus papildina ar jaunu vienību, kura pēc secības rakstāma starp esošajām vienībām. Tādējādi noteikumu 8. punktam pakārtotu regulējumu piedāvājam izteikt, piemēram, kā noteikumu 8.</w:t>
            </w:r>
            <w:r w:rsidR="00000000" w:rsidRPr="00000000" w:rsidDel="00000000">
              <w:rPr>
                <w:vertAlign w:val="superscript"/>
                <w:rtl w:val="0"/>
              </w:rPr>
              <w:t xml:space="preserve">1</w:t>
            </w:r>
            <w:r w:rsidR="00000000" w:rsidRPr="00000000" w:rsidDel="00000000">
              <w:rPr>
                <w:rtl w:val="0"/>
              </w:rPr>
              <w:t xml:space="preserve"> punktu vai kādu citu atbilstošu noteikumu punktu, nevis kā pēdējo punktu noteikumu pamata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29.10.2024.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29.10.2024.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Atzinumi_24-TA-2507.docx</dc:title>
</cp:coreProperties>
</file>

<file path=docProps/custom.xml><?xml version="1.0" encoding="utf-8"?>
<Properties xmlns="http://schemas.openxmlformats.org/officeDocument/2006/custom-properties" xmlns:vt="http://schemas.openxmlformats.org/officeDocument/2006/docPropsVTypes"/>
</file>