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25.lpp ir tehniska rakstura kļūda, jo 2.rindkopā pie abreviatūras VK iekavās tiek skaidrots, ka VK ir kā sertifikācijas iestāde. Savukārt ziņojuma 4.lpp. saīsinājumu tabulā ir skaidrots, ka abreviatūra VK tiek atšifrēta kā "Valsts kanceleja". Valsts kanceleja nepilda sertifikācijas iestādes funkcijas ne EEZ/Norvēģijas grantu 2014.–2021. perioda ietvaros, ne arī citos finanšu instrumentos vai periodos. Acīmredzot te ir domāta Valsts kase. Lūdzam veikt nepieciešamās korekcijas ziņojuma tekstā, izmantojot citu abreviatūru Valsts kases apzīmēšanai, vai nosaucot šo iestādi pilnā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Eiropas Komisijas apstiprinātos Atveseļošanas un noturības mehānisma (turpmāk – Atveseļošanas fonds) Darbības kārtības, par kuru vienojas Eiropas Komisija un Latvija, otros grozījumus, ar kuriem izslēgta prasība par Atveseļošanas fonda starpposma uzraudzības rādītājiem, atļaut atbildīgajām nozaru ministrijām un Valsts kancelejai neveikt tehniskus grozījumus Ministru kabineta noteikumos par Atveseļošanas fonda plāna reformu vai investīciju ieviešanu, lai šīs izmaiņas fiksētu, ja vien nav nepieciešami citi grozījumi reformu vai investīciju īstenošanas nosacījumos.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lielu daļu publiskā sektora Atveseļošanas un noturības mehānisma investīciju nosacījumu regulē, ne tikai Ministru kabineta noteikumi par Atveseļošanas fonda plāna reformu vai investīciju ieviešanu, bet arī informatīvie ziņojumi. Lūdzam papildināt Ministru kabineta protokollēmuma 2.punktu ar atrunu, ka netiek sagaidīta arī aktualizētu Ministru kabineta informatīvo ziņojumu virzība un apstiprināšana saistībā ar atcelto prasību par Atveseļošanas fonda starpposma uzraudzības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Eiropas Komisijas apstiprinātos Atveseļošanas un noturības mehānisma (turpmāk – Atveseļošanas fonds) Darbības kārtības, par kuru vienojas Eiropas Komisija un Latvija, otros grozījumus, ar kuriem izslēgta prasība par Atveseļošanas fonda starpposma uzraudzības rādītājiem, atļaut atbildīgajām nozaru ministrijām un Valsts kancelejai neveikt tehniskus grozījumus Ministru kabineta noteikumos par Atveseļošanas fonda plāna reformu vai investīciju ieviešanu, kā arī nevirzīt aktualizētus Ministru kabineta informatīvos ziņojumus, lai šīs izmaiņas fiksētu, ja vien nav nepieciešami citi grozījumi reformu vai investīciju īstenošanas nosacījumos.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03.09.2025.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03.09.2025.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