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Bīstamo kravu autopārvadājumu pārbaudes protokolā (</w:t>
            </w:r>
            <w:r w:rsidR="00000000" w:rsidRPr="00000000" w:rsidDel="00000000">
              <w:rPr>
                <w:rtl w:val="0"/>
              </w:rPr>
              <w:t xml:space="preserve">1. pielikums</w:t>
            </w:r>
            <w:r w:rsidR="00000000" w:rsidRPr="00000000" w:rsidDel="00000000">
              <w:rPr>
                <w:rtl w:val="0"/>
              </w:rPr>
              <w:t xml:space="preserve">) norāda šādas pārkāpumu riska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šo noteikumu 22.punktu, informāciju, kas norādīta bīstamo kravu autopārvadājumu pārbaudes protokolā  šo noteikumu 3. punktā minētais kontroles institūcijas darbinieks vai amatpersona, kura sastādījusi  protokolu,  iekļauj Autopārvadājumu kontroles uzraudzības informācijas sistēmā (turpmāk-AKUS). Lai nodrošinātu šī punkta izpildi, Iekšlietu ministrijas Informācijas centram, kurš ir AKUS pārzinis, ir nepieciešams veikt attiecīgus pielāgojumus un izmaiņas AKUS programmatūrā. Šo izmaiņu realizācijas nodrošināšana nav iespējama tik īsā termiņā kā plānota grozījumu spēkā stāšanās 2026.gada 24.jūnijā. Iespējamais realizācijas laiks izmaiņu veikšanai Bīstamo kravu autopārvadājumu pārbaudes protokolā ir 2026.gada 1.septembris. Ņemot vērā iepriekš minēto, lūdzam paredzēt atlikt spēkā stāšanās termiņu attiecībā uz informācijas ievadi AKUS. Izmaiņu veikšanai nepieciešamo finanšu līdzekļu apmērs ir 38 413,53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Margita Kukjāne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11.03.2026.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11.03.2026.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Atzinumi_23-TA-288.docx</dc:title>
</cp:coreProperties>
</file>

<file path=docProps/custom.xml><?xml version="1.0" encoding="utf-8"?>
<Properties xmlns="http://schemas.openxmlformats.org/officeDocument/2006/custom-properties" xmlns:vt="http://schemas.openxmlformats.org/officeDocument/2006/docPropsVTypes"/>
</file>