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24-TA-1560: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Vardarbības pret sievieti un vardarbības ģimenē novēršanas un apkarošanas plāns 2024.-2029.gadam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Tieslietu ministrijas 2024.gada 15.novembra atzinumā minēto, un to, ka arī Iekšlietu ministrija tuvākajā nākotnē neplāno izdarīt grozījumus tās kompetencē esošajos normatīvajos aktos, izņemot, lai izpildītu Noziedzības novēršanas padomes 2024.gada 3.jūlija sēdē (protokols Nr. 24, 3.paragrāfs, 4.punkts) doto uzdevumu (Iekšlietu ministrijai līdz nākamajai Noziedzības novēršanas padomes sēdei sagatavot un iesniegt Ministru kabinetā grozījumus Ministru kabineta 2014. gada 25. marta noteikumos Nr. 161 “Kārtība, kādā novērš vardarbības draudus un nodrošina pagaidu aizsardzību pret vardarbību”), svītrot pilnībā vai izteikt Plāna projekta 3.rīcības virziena 7.pasākuma 7.2.darbības rezultātu, rezultatīvo rādītāju, atbildīgās institūcijas, līdzatbildīgās institūcijas un izpildes termiņu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Darbības rezultāts: "7.2. Pilnveidots regulējums, kādā novērš vardarbības draudus un nodrošina pagaidu aizsardzību pret vardarbību."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Rezultatīvais rādītājs: "Izstrādāti grozījumi  Ministru kabineta 2014. gada 25. marta noteikumos Nr. 161 “Kārtība, kādā novērš vardarbības draudus un nodrošina pagaidu aizsardzību pret vardarbību”.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Atbildīgās institūcijas: "IeM, VP"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Līdzatbildīgās institūcijas: "TM, LM"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Izpildes termiņš: "2025.gada 1.ceturksnis"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Ronalds Petrovskis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Saeimā 2024. gada 7. novembrī pieņemts un 2024. gada 20. novembrī izsludināts likums “Grozījumi Kriminālprocesa likumā”, kura 3. pantā ietvertā Kriminālprocesa likuma 246.</w:t>
            </w:r>
            <w:r w:rsidR="00000000" w:rsidRPr="00000000" w:rsidDel="00000000">
              <w:rPr>
                <w:vertAlign w:val="superscript"/>
                <w:rtl w:val="0"/>
              </w:rPr>
              <w:t xml:space="preserve">1</w:t>
            </w:r>
            <w:r w:rsidR="00000000" w:rsidRPr="00000000" w:rsidDel="00000000">
              <w:rPr>
                <w:rtl w:val="0"/>
              </w:rPr>
              <w:t xml:space="preserve"> panta vienpadsmitā daļa paredz deleģējumu Ministru kabinetam noteikt kārtību, kādā Valsts policija veic drošības līdzekļa izpildes elektronisko uzraudzību, kā arī drošības līdzekļa izpildes elektroniskās uzraudzības ietvaros apstrādājamo personas datu un citas informācijas apjomu, apstrādes kārtību un glabāšanas termiņus. Ievērojot minēto, lūdzam precizēt un papildināt Plāna projekta 2. rīcības virziena 5. pasākuma 5.1. darbības rezultātu, rezultatīvos rādītājus un izpildes termiņus, izsakot tos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Darbības rezultāts: "5.1. Ieviests drošības līdzekļa izpildes elektroniskās uzraudzības instruments."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Rezultatīvais rādītājs (1): "Izstrādāts Ministru kabineta noteikumu projekts “Kārtība, kādā Valsts policija veic drošības līdzekļa izpildes elektronisko uzraudzību, datu apstrādi un glabāšanu”."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Izpildes termiņš (1): 2025.gada 2.ceturksnis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Rezultatīvais rādītājs (2): "Nodrošināta drošības līdzekļa izpildes elektroniskās uzraudzības instrumenta ieviešana un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Izpildes termiņš (2): no 2024.gada 4.ceturkšņa līdz 2029.gada 4.ceturksnim”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Ronalds Petrovskis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24-TA-1560</w:t>
    </w:r>
    <w:r>
      <w:br/>
    </w:r>
    <w:r w:rsidR="00000000" w:rsidRPr="00000000" w:rsidDel="00000000">
      <w:rPr>
        <w:rtl w:val="0"/>
      </w:rPr>
      <w:t xml:space="preserve">Izdrukāts 29.11.2024. 09.50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24-TA-1560</w:t>
    </w:r>
    <w:r>
      <w:br/>
    </w:r>
    <w:r w:rsidR="00000000" w:rsidRPr="00000000" w:rsidDel="00000000">
      <w:rPr>
        <w:rtl w:val="0"/>
      </w:rPr>
      <w:t xml:space="preserve">Izdrukāts 29.11.2024. 09.50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Atzinumi_24-TA-1560.docx</dc:title>
</cp:coreProperties>
</file>

<file path=docProps/custom.xml><?xml version="1.0" encoding="utf-8"?>
<Properties xmlns="http://schemas.openxmlformats.org/officeDocument/2006/custom-properties" xmlns:vt="http://schemas.openxmlformats.org/officeDocument/2006/docPropsVTypes"/>
</file>