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Iznomātājs, izvērtējot lietderības apsvērumus, var pieņemt lēmumu pagarināt nomas līguma termiņu (nerīkojot izsoli). Nomas līgumu var pagarināt, ievērojot šo noteikumu 28.</w:t>
            </w:r>
            <w:r w:rsidR="00000000" w:rsidRPr="00000000" w:rsidDel="00000000">
              <w:rPr>
                <w:vertAlign w:val="superscript"/>
                <w:rtl w:val="0"/>
              </w:rPr>
              <w:t xml:space="preserve">1</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pienākums atbilstoši noteiktiem kritērijiem izvērtēt nomas līguma termiņa noteikšanu virs sešiem gadiem pirms nomas tiesību piešķiršanas konkrētai personai, pēc būtības atšķiras no gadījuma, kad ir zināma konkrēta persona (nomnieks), bet ir plānots vien izvērtēt nomas līguma termiņa pagarināšanu. Piedāvātais regulējums ar atsauci uz noteikumu 28.</w:t>
            </w:r>
            <w:r w:rsidR="00000000" w:rsidRPr="00000000" w:rsidDel="00000000">
              <w:rPr>
                <w:vertAlign w:val="superscript"/>
                <w:rtl w:val="0"/>
              </w:rPr>
              <w:t xml:space="preserve">1</w:t>
            </w:r>
            <w:r w:rsidR="00000000" w:rsidRPr="00000000" w:rsidDel="00000000">
              <w:rPr>
                <w:rtl w:val="0"/>
              </w:rPr>
              <w:t xml:space="preserve"> punktu ir uzskatāms par neattiecināmu un formālu prasību nomas līguma pagarināšanai, jo iznomātājam tiek izvirzīts vien nosacījums izvērtēt  apstākļus atbilstoši kritērijiem, kas attiecas tikai uz nomas objektu. Citiem vārdiem, izvērtēšanas rezultāts var neietekmēt pieņemto lēmumu par nomas līguma pagarināšanu, jo nav noteiktības pie kāda izvērtēšanas rezultāta ir atsakāma nomas līguma pagarināšana. Pie šādiem apstākļiem ir pamats uzskatīt, ka tiks ierobežota citu personu iespējas pretendēt uz publiskas personas mantas iznomāšanu un publiskas personas iespējas saņemt augstāku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Apbūves tiesības līgumā var paredzēt apbūves piešķīrējam tiesības kontrolēt apbūves līgumā noteikto apbūves tiesīgā pienākumu kvalitatīvu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89. panta 3. punkts noteic, ka  privāto tiesību līgumu slēdz, ievērojot, ka līdzēju saistībām jābūt samērīgām. Paredzētās tiesības apbūves piešķīrējam paredzēt tiesības veikt kontroli pār apbūves tiesīgā pienākumu kvalitatīvu izpildi ir noteiktas absolūti, tostarp paredzot tiesības noteikt tiesības veikt kontroli pār būvdarbiem, kurus apbūves tiesīgais atbilstoši līguma būtībai veic savās interesēs patstāvīgi. Ievērojot minēto, lūdzam precizēt paredzētās tiesības apbūves piešķīrējam paredzēt tiesības kontrolēt apbūves līgumā noteikto apbūves tiesīgā pienākumu kvalitatīvu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25-TA-1473</w:t>
    </w:r>
    <w:r>
      <w:br/>
    </w:r>
    <w:r w:rsidR="00000000" w:rsidRPr="00000000" w:rsidDel="00000000">
      <w:rPr>
        <w:rtl w:val="0"/>
      </w:rPr>
      <w:t xml:space="preserve">Izdrukāts 01.10.2025.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25-TA-1473</w:t>
    </w:r>
    <w:r>
      <w:br/>
    </w:r>
    <w:r w:rsidR="00000000" w:rsidRPr="00000000" w:rsidDel="00000000">
      <w:rPr>
        <w:rtl w:val="0"/>
      </w:rPr>
      <w:t xml:space="preserve">Izdrukāts 01.10.2025.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Atzinumi_25-TA-1473.docx</dc:title>
</cp:coreProperties>
</file>

<file path=docProps/custom.xml><?xml version="1.0" encoding="utf-8"?>
<Properties xmlns="http://schemas.openxmlformats.org/officeDocument/2006/custom-properties" xmlns:vt="http://schemas.openxmlformats.org/officeDocument/2006/docPropsVTypes"/>
</file>