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mērķa grupa un gala labuma guvēji ir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"komersanti" izslēdz no atbalsta saņēmēja loka zemnieku saimniecības un kooperatīvās sabiedrības, kas nav reģistrētas Komercreģistrā un nav komersanti, bet ir reģistrēti Uzņēmumu reģistrā. Tādēļ lūdzam precizēt noteikumu projektu, kur vārds komersants tiek aizstāts ar vārdiem saimnieciskās darbības veicējs (attiecīgi nepieciešams precizēt to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Atbalstu nepiešķir , ja atbalsta saņēmējs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noteikumu projekta 18.punkta redakciju un tvērumu, svītrojot 18.4. apakšpunktu, lai neizslēgtu lauksaimniecības nozari no atbalsta saņēmēju loka. Vēršam uzmanību, ka Regulas 651/2014 1.panta 3.punkta b) apakšpunkts pieļauj piešķirt vides atbalstu (Regulas 651/2014 38. 38.a un 41. pantu) lauksaimniecības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Komisijas regulas Nr. 2023/2831 1. panta 1. punkta a), b), c) un d) apakšpunktā noteiktajās nozarēs, ja atbalstu piešķir kā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noteikuma projekta 18.5. apakšpunkts paredz stingrākas prasības, kā to nosaka  Komisijas regulas Nr. 2023/2831 1. panta 1. punkta noteiktās prasības. Tādēļ nepieciešams precizēt noteikuma projekta 18.5. apakšpunktu atbilstoši Komisijas regulas Nr. 2023/2831 1. panta 1. punkta noteiktajam, ka atbalstu nepiešķir Komisijas regulas Nr. 2023/2831 1. panta 1. punkta a) un c) apakšpunktā noteiktajās nozarēs. Jo saskaņā ar Komisijas regulas Nr. 2023/2831 1. panta 1. punktā noteikto b) un d) apakšpunktā noteiktajās nozarēs atbalstu nedrīkst piešķirt par šajos apakšpunktos minētajām darbībām nevis, ka atbalstu nevar piešķirt šajos apakšpunktos minētajām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15.01.2025.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