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skar visu Latvijas iedzīvotāju aizsardzību (drošību) katastrofas, militāra iebrukuma vai kara gadījumā, kā arī nosaka privātpersonu pienākumus to izveidošanā, lūdzu paredzēt pēcpārbaudes (ex-post) ietekmes izvērtējumu pēc trīs likuma darbības gadiem ar mērķi novērtēt likuma mērķa sasniegšanu un ietekmi uz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noteikumu nr.617 "Tiesību akta projekta sākotnējās ietekmes izvērtēšanas kārtība" 20.punktam, lūdzu šajā sadaļā norādīt pēcpārbaudes ietekmes izvērtēšanas pamatojumu, termiņu, kā arī projekta mērķa sasniegšanas rezultātus un to vērtēšanas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w:t>
            </w:r>
            <w:r w:rsidR="00000000" w:rsidRPr="00000000" w:rsidDel="00000000">
              <w:rPr>
                <w:vertAlign w:val="superscript"/>
                <w:rtl w:val="0"/>
              </w:rPr>
              <w:t xml:space="preserve">1 </w:t>
            </w:r>
            <w:r w:rsidR="00000000" w:rsidRPr="00000000" w:rsidDel="00000000">
              <w:rPr>
                <w:rtl w:val="0"/>
              </w:rPr>
              <w:t xml:space="preserve">pirmo daļas apakšpunktus,</w:t>
            </w:r>
            <w:r w:rsidR="00000000" w:rsidRPr="00000000" w:rsidDel="00000000">
              <w:rPr>
                <w:vertAlign w:val="superscript"/>
                <w:rtl w:val="0"/>
              </w:rPr>
              <w:t xml:space="preserve"> </w:t>
            </w:r>
            <w:r w:rsidR="00000000" w:rsidRPr="00000000" w:rsidDel="00000000">
              <w:rPr>
                <w:rtl w:val="0"/>
              </w:rPr>
              <w:t xml:space="preserve">lai tajos būtu vienota terminoloģija - 1) un 2) apakšpunktā lietots vārdu savienojums "radioaktīvais piesārņojums", savukārt 3) apakšpunktā -  "radiācijas piesārņojums".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