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ziņojums“Digitālās veselības stratēģija līdz 2029. gadam”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priekšlikumi, informācija par to ņemšanu vērā projektā)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Digitālās veselības stratēģija līdz 2029.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Uzturam iepriekš sniegto iebildumu.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Informatīvajā ziņojumā „Digitālās veselības stratēģija līdz 2029. gadam” 3.1. apakšpuntā “Veselības nozares pakalpojumu sniedzēju reģistrācijas digitālā  transformācija” (turpmāk – projekts) 232. punktā ir norādīts, ka jāizveido integrācija starp Ārstniecības iestāžu reģistru un Vatlsts ieņēmumu dienestu (turpmāk - VID), lai nodrošinātu aktuālo informāciju par to, ka ārstniecības iestādei, kas ir saimnieciskās darbības veicēja, ir apturēta saimnieciskā darbība, par ārstniecības personu nostrādāto stundu skaitu (ņemot vērā darba devēja sniegto informāciju).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šobrīd VID jau nodrošina informāciju par nostrādātam stundām Veselības inspekcijai izmantojot Datu noliktavas sistēmu, savukārt informācija par saimnieciskās darbības apturēšanu ir pieejama VID Publiskojamo datu bāze.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VID rīcībā nav resursu, lai izveidotu </w:t>
            </w:r>
            <w:r w:rsidR="00000000" w:rsidRPr="00000000" w:rsidDel="00000000">
              <w:rPr>
                <w:u w:val="single"/>
                <w:rtl w:val="0"/>
              </w:rPr>
              <w:t xml:space="preserve">automātisku</w:t>
            </w:r>
            <w:r w:rsidR="00000000" w:rsidRPr="00000000" w:rsidDel="00000000">
              <w:rPr>
                <w:rtl w:val="0"/>
              </w:rPr>
              <w:t xml:space="preserve"> datu apmaiņu par augstāk minētām datu kopām, līdz ar to, ja projekta 232. punkts netiek grozīts, ir jāparedz arī finansējums VID dotā uzdevuma izpildei.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Andžela Aperčoje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11.07.2023.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11.07.2023.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