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Šā panta piektajā daļā minētie cenu un atlaižu reklāmas ierobežojumi neattiecas uz mazumtirdzniecības vietām, kurās norisinās alkoholisko dzērienu tirdzniecība (tai skaitā ar distances līgumu tīmekļa vietnē un mobilajā lietotnē), kā arī alkoholisko dzērienu ražošanas vietās vai ražotāja telpās.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6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pircēju informāciju par cenu piedāvājumu saņem drukātā veidā un vairumā tie ir iedzīvotāji ārpus Rīgas. Iedzīvotāji, kuri neizmanto internetu, ir nevienlīdzīgā situācijā pret pircējiem, kuri informāciju atrod internetā.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6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otrajā daļā minētie cenu un atlaižu /imformācijas ierobežojumi neattiecas uz mazumtirdzniecības drukātajiem izdevumiem, kas tiek izplatīti ārpus veikala telpām.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Norītis Noris Krūzītis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18.01.2023. 09.57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18.01.2023. 09.57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