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 (Latvijas Vēstnesis, 2022, 216. nr.; 2023, 94., 136., 246.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kokrūpniecības nozares iesniegto iebildumu no administratīvo šķēršļu viedokļa, ciktāl iespējams, saskaņojot gala redakciju  ar nozari pirms noteikumu projekta tālākas virzības, vai arī papildus pamatojot noteikumu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cietajai koksnes biomasai, ko izmanto enerģētikā (šķelda, skaida, granulas, briketes, apaļkoks utt.) jau šobrīd "Koksnes regula" (995/2010 - EN - EU Timber Regulation) un sākot ar 2025.gada 30. decembri Atmežošanas regula (Regulation (EU) 2023/1115) prasa pilnu izsekojamību un risku izvērtējumu, būtu napamatoti uzdot izveidot un uzturēt papildus vēl vienu izsekojamības un risku novērtēšanas sistēmu jeb 27.punkta redakcijā noteikto masas bilances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meža produktiem, piemēram meža šķeldai un malkas koksnei, kurināmā piegādātāji kurināmā izcelsmi pierāda gan ar ciršanas apliecinājumu, gan ar ārpus meža nocirstās koksnes apliecinājumu, kuros abos norādīti izstrādātās cirsmas kadastra numuri, un cirsmas pirkuma līgumu. Savukārt koksnes enerģētikas produktiem, kas ražoti no meža produktiem, piemēram granulas un ražošanas procesos radušie blakusprodukti - šķelda un skaida, jau šobrīd izsekojamība tiek nodrošināta atbilstoši Koksnes regulas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27.</w:t>
            </w:r>
            <w:r w:rsidR="00000000" w:rsidRPr="00000000" w:rsidDel="00000000">
              <w:rPr>
                <w:vertAlign w:val="superscript"/>
                <w:rtl w:val="0"/>
              </w:rPr>
              <w:t xml:space="preserve">7</w:t>
            </w:r>
            <w:r w:rsidR="00000000" w:rsidRPr="00000000" w:rsidDel="00000000">
              <w:rPr>
                <w:rtl w:val="0"/>
              </w:rPr>
              <w:t xml:space="preserve">.,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"Masas bilances sistēma atbilstoši apakšpunktiem 27.</w:t>
            </w:r>
            <w:r w:rsidR="00000000" w:rsidRPr="00000000" w:rsidDel="00000000">
              <w:rPr>
                <w:vertAlign w:val="superscript"/>
                <w:rtl w:val="0"/>
              </w:rPr>
              <w:t xml:space="preserve">1</w:t>
            </w:r>
            <w:r w:rsidR="00000000" w:rsidRPr="00000000" w:rsidDel="00000000">
              <w:rPr>
                <w:rtl w:val="0"/>
              </w:rPr>
              <w:t xml:space="preserve">. - 27.</w:t>
            </w:r>
            <w:r w:rsidR="00000000" w:rsidRPr="00000000" w:rsidDel="00000000">
              <w:rPr>
                <w:vertAlign w:val="superscript"/>
                <w:rtl w:val="0"/>
              </w:rPr>
              <w:t xml:space="preserve">6</w:t>
            </w:r>
            <w:r w:rsidR="00000000" w:rsidRPr="00000000" w:rsidDel="00000000">
              <w:rPr>
                <w:rtl w:val="0"/>
              </w:rPr>
              <w:t xml:space="preserve">. nav jāveido tiem biomasas enerģētikas produktiem, kuru izsekojamība tiek veikta atbilstoši  Regulai 995/2010  vai Regulai 2023/1115."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28.10.2024.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28.10.2024.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