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Darbnespējas lapu izsniegšanas un anulēšanas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iebildumu un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Personai var izsniegt darbnespējas lapu, ja ir iestājusies pārejoša darbnespēja (turpmāk – darbnespēja)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ar skaidrojumu, kāpēc noteikumu projekta 2.punktā netiek iekļauts spēkā esošo Ministru kabineta 2001.gada 3.aprīļa  noteikumu Nr.152 “Darbnespējas lapu izsniegšanas un anulēšanas kārtība” 3.4. un 3.6.apakšpunkts.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punktu “Risinājuma apraksts”, pie katra no skaidrojumiem iekavās norādot atbilstošo noteikumu projekta punktu/apakšpunktu.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ar skaidrojumu par noteikumu projekta 2.7.2.apakšpunkta iekļaušanas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2.1.sadaļu "Sabiedrības grupas, kuras tiesiskais regulējums ietekmē, vai varētu ietekmēt" ar skaidrojumu, kā tiek mazināts administratīvais slogs ģimenes ārstiem.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punktu “Cita informācija”, norādot ministriju/as, kuras/u piešķirto valsts budžeta līdzekļu ietvaros noteikumu projekts tiks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24.01.2024.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24.01.2024.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Atzinumi_23-TA-2418.docx</dc:title>
</cp:coreProperties>
</file>

<file path=docProps/custom.xml><?xml version="1.0" encoding="utf-8"?>
<Properties xmlns="http://schemas.openxmlformats.org/officeDocument/2006/custom-properties" xmlns:vt="http://schemas.openxmlformats.org/officeDocument/2006/docPropsVTypes"/>
</file>