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Nacionālo bruņoto spēku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ministra noteiktajos gadījumos valsts militārās aizsardzības objektu būvniecību var organizēt valsts akciju sabiedrība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2.pantam paredzēts papildināt Nacionālo bruņoto spēku likuma 18.panta piekto daļu, nosakot, ka aizsardzības ministra noteiktajos gadījumos valsts militārās aizsardzības objektu būvniecību var organizēt VAS "Valsts nekustamie īpašumi". Ņemot vērā, ka minētā norma ir ļoti plaša un nav saprotams, cik plaši tā tiks piemērota, kā arī to, ka VAS "Valsts nekustamie īpašumi" kapitāla daļu turētājs nav Aizsardzības ministrija, Finanšu ministrijas ieskatā tiesības lemt par konkrētiem gadījumiem, kad būvniecības organizēšanu veiktu VAS "Valsts nekustamie īpašumi", būtu jāparedz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un precizēt, kādas darbības ietver likumprojektā minētā būvniecības organizēšana. Likumprojekta anotācijā minēts, ka VAS "Valsts nekustamie īpašumi" varētu veikt arī kādas darbības objektu, kuru būvniecību organizē VAMOIC, būvniecības procesā, kā arī Aizsardzības ministrija iesniegtu konkrētas prasības VAS "Valsts nekustamie īpašumi" būvniecības darbu īstenošanai. Ievērojot minēto, nav saprotams, kāds ir tvērums VNĪ iesaistei būvniecības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likumprojekta 2.pantu, nosakot, ka Ministru kabinets var lemt par gadījumiem, kad valsts militārās aizsardzības objektu būvniecību organizē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likumprojekta anotācijā un precizēt likumprojektu, definējot VAS "Valsts nekustamie īpašumi" veicamās darbības būvniecības procesa organizēšanā.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Aizsardzības ministra noteiktajos gadījumos valsts militārās aizsardzības objektu būvniecību var organizēt VAS "Valsts nekustamie īpašumi". Ievērojot, ka tādējādi VAS "Valsts nekustamie īpašumi" nodrošinātu attiecīga pakalpojuma sniegšanu, Aizsardzības ministrijai par to atsevišķi nerīkojot iepirkumu, lūdzam papildināt likumprojekta anotāciju ar skaidrojumu, kas no publisko iepirkumu tiesiskā regulējuma viedokļa sniegtu pamatojumu ar likumprojektu noteikt konkrētu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02.10.2024.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02.10.2024.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Atzinumi_24-TA-1826.docx</dc:title>
</cp:coreProperties>
</file>

<file path=docProps/custom.xml><?xml version="1.0" encoding="utf-8"?>
<Properties xmlns="http://schemas.openxmlformats.org/officeDocument/2006/custom-properties" xmlns:vt="http://schemas.openxmlformats.org/officeDocument/2006/docPropsVTypes"/>
</file>