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Atlases kārtas ietvaros finansējumu nepiešķir darbībām ēkās, kur tiek sniegti ilgstošas sociālās aprūpes un sociālās rehabilitācijas pakalpojumi, un ēkās, kur tiek nodrošināti sociālie mājokļi, izņemot tādās pašvaldības īpašumā esošās sociālajās dzīvojamajās mājās, kas atbilst likuma "Par palīdzību dzīvokļa jautājumu risināšanā" III</w:t>
            </w:r>
            <w:r w:rsidR="00000000" w:rsidRPr="00000000" w:rsidDel="00000000">
              <w:rPr>
                <w:vertAlign w:val="superscript"/>
                <w:rtl w:val="0"/>
              </w:rPr>
              <w:t xml:space="preserve">2</w:t>
            </w:r>
            <w:r w:rsidR="00000000" w:rsidRPr="00000000" w:rsidDel="00000000">
              <w:rPr>
                <w:rtl w:val="0"/>
              </w:rPr>
              <w:t xml:space="preserve"> nodaļā noteiktajam, un kur visi sociālie dzīvokļi tiek izīrēti likumā noteiktajām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(ex-ante) ir norādīts: “Ēku energoefektivitātes pasākumi, īpaši ēku renovācija un norobežojošo konstrukciju uzlabojumi, bieži prasa ievērojamus ilgtermiņa kapitālieguldījumus, kuru atmaksāšanās periods praksē var būt pat līdz 30 gadiem [2]. Tāpēc pašvaldībām, kas iegulda ēkās, kas nodrošina pašvaldību autonomās funkcijas, nereti trūkst finanšu resursu, lai īstenotu nepieciešamos energoefektivitātes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pašvaldībām īpašumā esošu ēku energoefektivitātes paaugstināšana ir ļoti nozīmīga, tādējādi rosinām paplašināt atbalsta iespējas, lai atbalstam varētu kvalificēties </w:t>
            </w:r>
            <w:r w:rsidR="00000000" w:rsidRPr="00000000" w:rsidDel="00000000">
              <w:rPr>
                <w:b w:val="1"/>
                <w:u w:val="single"/>
                <w:rtl w:val="0"/>
              </w:rPr>
              <w:t xml:space="preserve">pašvaldības īpašumā esoša daudzdzīvokļu dzīvojamā ēka, kas neatbilda 4.3.1.3. pasākuma "Sociālo mājokļu atjaunošana vai jaunu sociālo mājokļu būvniecība"</w:t>
            </w:r>
            <w:r w:rsidR="00000000" w:rsidRPr="00000000" w:rsidDel="00000000">
              <w:rPr>
                <w:b w:val="1"/>
                <w:u w:val="single"/>
                <w:vertAlign w:val="superscript"/>
                <w:rtl w:val="0"/>
              </w:rPr>
              <w:t xml:space="preserve">[1]</w:t>
            </w:r>
            <w:r w:rsidR="00000000" w:rsidRPr="00000000" w:rsidDel="00000000">
              <w:rPr>
                <w:b w:val="1"/>
                <w:u w:val="single"/>
                <w:rtl w:val="0"/>
              </w:rPr>
              <w:t xml:space="preserve"> atbalsta nosacījumiem</w:t>
            </w:r>
            <w:r w:rsidR="00000000" w:rsidRPr="00000000" w:rsidDel="00000000">
              <w:rPr>
                <w:rtl w:val="0"/>
              </w:rPr>
              <w:t xml:space="preserve"> (neizīrētu ēku atjaunošana vai pārbūve, nepabeigtu un ekspluatācijā nenodotu jaunbūvju pabeigšana, jaunu dzīvojamo māju būvniecība) un kurā tiek sniegti pašvaldības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nosaka, ka </w:t>
            </w:r>
            <w:r w:rsidR="00000000" w:rsidRPr="00000000" w:rsidDel="00000000">
              <w:rPr>
                <w:i w:val="1"/>
                <w:rtl w:val="0"/>
              </w:rPr>
              <w:t xml:space="preserve">pasākuma un atlases kārtas mērķis ir uzlabot pašvaldību ēku un ar tām tieši saistītās infrastruktūras energoefektivitāti, lai samazinātu ikgadējo primāro enerģijas patēriņu un sasniegtu enerģijas ietaupījumu, ieviešot efektīvākos pasākumus pašvaldību ēku energoefektivitātes, tai skaitā siltumnoturības uzlabošanai.</w:t>
            </w:r>
            <w:r w:rsidR="00000000" w:rsidRPr="00000000" w:rsidDel="00000000">
              <w:rPr>
                <w:rtl w:val="0"/>
              </w:rPr>
              <w:t xml:space="preserve"> Izņēmuma attiecināšana tikai uz pašvaldības īpašumā esošām sociālajām mājām nepamatoti sašaurina atbalstāmo ēku loku un nav pilnībā saskanīga ar pasākuma mērķi. Līdz ar to būtu pamatoti izņēmumu attiecināt uz plašāku pašvaldības īpašumā esošo dzīvojamo māju loku neatkarīgi no tā, vai tajās ir sociālie dzīvokļi, ja attiecīgajās ēkās iespējams īstenot efektīvus energoefektivitātes pasākumus un sasniegt pasākuma mērķim atbilstošu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pasākums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izteikt Noteikumu projekta 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 Atlases kārtas ietvaros finansējumu nepiešķir darbiem ēkās, kur tiek sniegti ilgstošas sociālās aprūpes un sociālās rehabilitācijas pakalpojumi, izņemot pašvaldības īpašumā esošās dzīvojamajās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iesniegumā tiek paredzēts,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izstrādājot šo noteikumu projektu, ir ievērota savstarpēja konsekvence ar noteikumu projektu “Grozījumi Ministru kabineta 2020. gada 10. decembra noteikumos Nr. 730 “Ekspluatējamu ēku energoefektivitātes minimālās prasības”” (26-TA-329), lai novērstu iespējamās pretrunas saules enerģijas iekārtu uzstādīšanas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28.04.2026.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28.04.2026.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