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pases 5.4. sadaļu, norādot centralizēti pārvaldāmās būtiskās datu kopas vai N/A, ja projekta ietvaros tās neveidosies.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klientu pašapkalpošanās vides attīstība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informācijas sistēmas biznesa īpašnieku – institūciju, kas atbild par sistēmas funkcionalitāti un tās attīstības virzieniem, t.i., VID. Norādām, ka pašreizējais formulējums, kur kā biznesa īpašnieks minēta projekta vadības grupa, neatbilst biznesa īpašnieka lomai pēc būtības, jo projekta vadības grupa nodrošina projekta īstenošanu, nevis ir atbildīga par sistēmas izmantošanu un attīstību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pases 5.3. sadaļā norādīto pakalpojumu “Iesniegt gada pārskatu”, izvērtējot, vai tas pēc būtības ir uzskatāms par koplietošanas pakalpojumu, ņemot vērā tā mērķi, lietotāju loku un funkciju valsts pārvaldes procesā. Ja tiek iekļauta norāde uz koplietošanas pakalpojumu, tad attiecīgi jāiekļauj norāde uz MK lēmumu par pakalpojuma attīstības plānu, resp., jābūt apstiprinātam plānam, kurā skaidri ir definēti pakalpojuma sniegšanas un saņemšanas nosacījumi, pakalpojuma sniedzēja atbildība, SLA, finansēšanas modelis, pakalpojuma izvēršanas plāns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7. sadaļā informāciju par projekta “biznesa” īpašnieku, norādot informācijas sistēmas biznesa īpašnieku – institūciju, kas atbild par sistēmas funkcionalitāti un tās attīstības virzieniem. Norādām, ka pašreizējais formulējums, kur kā biznesa īpašnieks minēta projekta vadības grupa, neatbilst biznesa īpašnieka lomai pēc būtības, jo projekta vadības grupa nodrošina projekta īstenošanu, nevis ir atbildīga par sistēmas izmantošanu un attīstību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iesniegšanas procesa efektivizācija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Uzņēmumu reģistrs nav iekļaujams projekta pases 1.2. sadaļā kā indikatīvais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07.04.2026.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07.04.2026.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Atzinumi_25-TA-2634.docx</dc:title>
</cp:coreProperties>
</file>

<file path=docProps/custom.xml><?xml version="1.0" encoding="utf-8"?>
<Properties xmlns="http://schemas.openxmlformats.org/officeDocument/2006/custom-properties" xmlns:vt="http://schemas.openxmlformats.org/officeDocument/2006/docPropsVTypes"/>
</file>