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 trīs darbdienu laikā pēc lēmuma spēkā stāšanās par suņa īpašnieka vai turētāja sodīšanu saskaņā ar Dzīvnieku aizsardzības likuma 58. pantu datubāzē pie ieraksta par konkrēto suni izdara atzīmi un norāda administratīvā pārkāpuma lietas lēmuma spēkā stāšanās datumu.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lūdzu anotācijā sniegt skaidrojumu, ka administratīvā pārkāpuma process vai kriminālprocess tiek uzsākts tikai tajos gadījumos, kad ir identificēts konkrētais suns un tā īpašnieks vai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suns nav bijis reģistrēts datubāzē, bet ir identificēts tā īpašnieks vai turētājs, tam tiek uzlikts pienākums normatīvajos aktos noteiktajā kārtībā suni apzīmēt un reģistrēt datubāzē, un pēc tam attiecīgā amatpersona izdara atzīmi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16.07.2026.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16.07.2026.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