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14. panta ceturtajā daļā vārdus “Garantijas fonda” vārdiem “Sauszemes transportlīdzekļu īpašnieku civiltiesiskās atbildības obligātās apdrošināšanas garantijas fonda (turpmāk — Garantijas fonds)”.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10.panta redakciju, papildinot to pēc vārdiem "Garantijas fonda" ar vārdu "ar".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zaudējumus, kuri nodarīti ar transportlīdzekli, kas negadījuma brīdī nav lietots atbilstoši transportlīdzekļa funkcijai transporta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likumprojekta 16.pantā piedāvātajā Sauszemes transportlīdzekļu īpašnieku civiltiesiskās atbildības obligātās apdrošināšanas likuma (turpmāk - OCTA likums) 35.panta 16.punktā vārdus "atbilstoši transportlīdzekļa funkcijai", tādējādi nodrošinot, ka šīs tiesību normas saturs redakcionāli atbilst citās likumprojekta vienībās (pantos) piedāvātā regulējuma saturam (sk. likumprojekta 1.pantā piedāvāto OCTA likuma 1.panta pirmās daļas 2.punkta redakciju un likumprojekta 2.pantā piedāvāto OCTA likuma 3.panta pirmās 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sākotnējās ietekmes novērtējuma ziņojuma (anotācijas) 1.3.punktā ietvertajā sadaļā "Par Direktīvas 1.panta 1.punkta b) apakšpunktu" norādīto informāciju, svītrojot tajā vārdus "atbilstoši transportlīdzekļa funkcijai".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25.01.2024.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25.01.2024.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Atzinumi_23-TA-1660.docx</dc:title>
</cp:coreProperties>
</file>

<file path=docProps/custom.xml><?xml version="1.0" encoding="utf-8"?>
<Properties xmlns="http://schemas.openxmlformats.org/officeDocument/2006/custom-properties" xmlns:vt="http://schemas.openxmlformats.org/officeDocument/2006/docPropsVTypes"/>
</file>