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Ministrija norāda, ka Madonas novadam 2021. gada administratīvi teritoriālās reformas ietvaros jau tika piešķirta mērķdotācija, lai līdzfinansētu administratīvi teritoriālās reformas īstenošanas rezultātā radušos administratīvos izdevumus, kad tika apvienotas </w:t>
            </w:r>
            <w:r w:rsidR="00000000" w:rsidRPr="00000000" w:rsidDel="00000000">
              <w:rPr>
                <w:u w:val="single"/>
                <w:rtl w:val="0"/>
              </w:rPr>
              <w:t xml:space="preserve">četras </w:t>
            </w:r>
            <w:r w:rsidR="00000000" w:rsidRPr="00000000" w:rsidDel="00000000">
              <w:rPr>
                <w:rtl w:val="0"/>
              </w:rPr>
              <w:t xml:space="preserve">pašvaldības (Madonas, Cesvaines, Ērgļu un Lubānas novadu pašvaldības). Ievērojot iepriekš minēto un balstoties uz vienlīdzības principu, LPS uztur iepriekš izteikto iebildumu par mērķdotācijas piešķiršanu Madonas novada pašvaldībai reformas ieviešanai.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Ministrijas sniegtais skaidrojums, </w:t>
            </w:r>
            <w:r w:rsidR="00000000" w:rsidRPr="00000000" w:rsidDel="00000000">
              <w:rPr>
                <w:i w:val="1"/>
                <w:rtl w:val="0"/>
              </w:rPr>
              <w:t xml:space="preserve">ka izstrādājot likumprojektu par valsts budžetu 2024. gadam, šāds priekšlikums – vienreizējas mērķdotācijas piešķiršana – netika iekļauts, jo budžeta likumprojekta izstrādes laikā nebija skaidrības par likumprojekta “Grozījumi Administratīvo teritoriju un apdzīvoto vietu likumā” virzību </w:t>
            </w:r>
            <w:r w:rsidR="00000000" w:rsidRPr="00000000" w:rsidDel="00000000">
              <w:rPr>
                <w:rtl w:val="0"/>
              </w:rPr>
              <w:t xml:space="preserve">nav pietiekošs arguments mērķdotācijas nepiešķiršanai, jo pašvaldībai neapšaubāmi būs finanšu izdevumi reformas ieviešana, kuri būtu sedzami no valsts budžeta veicot tā grozījumus.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Dāvids Valters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16.02.2024. 18.53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16.02.2024. 18.53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