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Dabas resursu nodokļa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likumprojektu atbilstoši juridiskās tehnikas prasībām, lietojot darāmo kārtu - aizstāt vārdu "izslēgts" ar vārdu "izslēgt", kā arī pantu prim vienības (daļas) pierakstīt ar cipariem.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Otto (VID) (Danute Deičmane (VID)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 pants. </w:t>
            </w:r>
            <w:r w:rsidR="00000000" w:rsidRPr="00000000" w:rsidDel="00000000">
              <w:rPr>
                <w:rtl w:val="0"/>
              </w:rPr>
              <w:t xml:space="preserve">"Dabas resursu nodokļa likuma</w:t>
            </w:r>
            <w:r w:rsidR="00000000" w:rsidRPr="00000000" w:rsidDel="00000000">
              <w:rPr>
                <w:rtl w:val="0"/>
              </w:rPr>
              <w:t xml:space="preserve">8. pielikums</w:t>
            </w:r>
            <w:r w:rsidR="00000000" w:rsidRPr="00000000" w:rsidDel="00000000">
              <w:rPr>
                <w:rtl w:val="0"/>
              </w:rPr>
              <w:t xml:space="preserve">
</w:t>
            </w:r>
            <w:r w:rsidR="00000000" w:rsidRPr="00000000" w:rsidDel="00000000">
              <w:rPr>
                <w:sz w:val="32"/>
                <w:b w:val="1"/>
                <w:rtl w:val="0"/>
              </w:rPr>
              <w:t xml:space="preserve">Nodokļa likmes par radioaktīvajām vielām</w:t>
            </w:r>
            <w:r w:rsidR="00000000" w:rsidRPr="00000000" w:rsidDel="00000000">
              <w:rPr>
                <w:rtl w:val="0"/>
              </w:rPr>
              <w:t xml:space="preserve"> 
</w:t>
            </w:r>
          </w:p>
          <w:tbl>
            <w:tblPr>
              <w:tblStyle w:val="DefaultTable"/>
              <w:bidiVisual w:val="0"/>
              <w:tblW w:w="3225.0" w:type="dxa"/>
              <w:tblInd w:w="0.0" w:type="dxa"/>
              <w:jc w:val="left"/>
              <w:tblBorders>
                <w:top w:color="auto" w:val="single" w:sz="5" w:space="0"/>
                <w:left w:color="auto" w:val="single" w:sz="5" w:space="0"/>
                <w:bottom w:color="auto" w:val="single" w:sz="5" w:space="0"/>
                <w:right w:color="auto" w:val="single" w:sz="5" w:space="0"/>
                <w:insideH w:color="auto" w:val="single" w:sz="5" w:space="0"/>
                <w:insideV w:color="auto" w:val="single" w:sz="5" w:space="0"/>
              </w:tblBorders>
              <w:tblLayout w:type="fixed"/>
              <w:tblLook w:val="0600"/>
            </w:tblPr>
            <w:tblGrid>
              <w:gridCol w:w="24"/>
              <w:gridCol w:w="1666"/>
              <w:gridCol w:w="529"/>
              <w:gridCol w:w="403"/>
              <w:tblGridChange w:id="0">
                <w:tblGrid>
                  <w:gridCol w:w="24"/>
                  <w:gridCol w:w="1666"/>
                  <w:gridCol w:w="529"/>
                  <w:gridCol w:w="403"/>
                </w:tblGrid>
              </w:tblGridChange>
            </w:tblGrid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N.p.k.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Radioaktīvās vielas raksturojums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Mērvienība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Likme (euro)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1.radionuklīdu grupa (pieļaujamā kopējā radioaktivitāte 1 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 &gt; 10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12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Bq), slēgts starojuma avots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711,44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2.radionuklīdu grupa (pieļaujamā kopējā radioaktivitāte 1 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 &gt; 10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12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Bq), vaļējs starojuma avots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1422,87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3.radionuklīdu grupa (pieļaujamā kopējā radioaktivitāte 1 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 10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9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—10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12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Bq), slēgts starojuma avots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2134,31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4.radionuklīdu grupa (pieļaujamā kopējā radioaktivitāte 1 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 10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9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—10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12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Bq), vaļējs starojuma avots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4268,62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5.radionuklīdu grupa (pieļaujamā kopējā radioaktivitāte 1 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 10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6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—10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9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Bq), slēgts starojuma avots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3557,18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6.radionuklīdu grupa (pieļaujamā kopējā radioaktivitāte 1 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 10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6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—10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9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Bq), vaļējs starojuma avots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7114,36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7.grupa, jonizējošā starojuma avoti, kuros jebkura radionuklīda aktivitāte pārsniedz pieļaujamos limitus 1 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3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atkritumu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jc w:val="center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14 228,72"</w:t>
                  </w:r>
                </w:p>
              </w:tc>
            </w:tr>
          </w:tbl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Dabas resursu nodokļa likuma 8.pielikums tiek izteikts jaunā redakcijā, ierosinām apsvērt nodokļa likmes par radioaktīvajām vielām noapaļot līdz veseliem skaitļiem, jo tās nav pārskatītas/indeksētas jau 20 gadus jeb kopš to noteikšanas no 2006.gada 1.janvārī.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Lukss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05.08.2026. 22.29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05.08.2026. 22.29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