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25-TA-931: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Kriminālsodu izpildes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likumprojektā ietverto informācijas sniegšanas pienākumu izvērtējumu. Kā piemēram, informācijas sniegšanas pienākumi ir ietverti likumprojekta 58. panta otrā daļā, 75. panta otrā daļā, 77. panta pirmās daļas 4. apakšpunktā, 83. panta trešā daļā, u.c. pantos, to daļās vai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likumprojektā ietverto informācijas sniegšanas pienākumu izvērtējumu. Kā piemēram, informācijas sniegšanas pienākumi ir ietverti likumprojekta 111. panta otrajā daļā, 116. panta trešajā daļā, 143. panta pirmajā un otrajā daļā, u.c. pantos, to daļās vai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radinieks </w:t>
            </w:r>
            <w:r w:rsidR="00000000" w:rsidRPr="00000000" w:rsidDel="00000000">
              <w:rPr>
                <w:rtl w:val="0"/>
              </w:rPr>
              <w:t xml:space="preserve">– notiesātā tēvs, māte, aizbildnis, aizgādnis, bērns, brālis, māsa, vecvecāks un mazbērns;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aicinām izvērtēt, vai likumprojekts nebūtu papildināms ar termina "ģimenes loceklis"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w:t>
            </w:r>
            <w:r w:rsidR="00000000" w:rsidRPr="00000000" w:rsidDel="00000000">
              <w:rPr>
                <w:b w:val="1"/>
                <w:rtl w:val="0"/>
              </w:rPr>
              <w:t xml:space="preserve">radinieks </w:t>
            </w:r>
            <w:r w:rsidR="00000000" w:rsidRPr="00000000" w:rsidDel="00000000">
              <w:rPr>
                <w:rtl w:val="0"/>
              </w:rPr>
              <w:t xml:space="preserve">– notiesātā tēvs, māte, aizbildnis, aizgādnis, bērns, brālis, māsa, vecvecāks un mazbērns;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nebūtu papildināms ar "pusbrālis, pusmāsa", nevis tikai "brālis, māsa", lai izslēgtu dažādu tiesiskā regulējuma interpretāciju un piemērošanu. Norādāms, ka pusmāsas un pusbrāļi tiek atsevišķi norādīti likumā "Par interešu konflikta novēršanu valsts amatpersonu darbībā", Civillikumā, Valsts un pašvaldību institūciju amatpersonu un darbinieku atlīdzības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īslaicīgu brīvības atņemšanu notiesātajiem slēgtā cietuma augstākajā pakāpē ir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vismaz stundu ilgu īslaicīgo satikšanos ne retāk kā reizi mēnesī, bet ne mazāk kā vienu īslaicīgo satikšanos soda izpildes laikā, ja tas ir īsāks par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iepirkties komersanta izveidotajā pastāvīgajā tirdzniecības vietā brīvības atņemšanas iestādes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izmantot telefonsarunas bez skaita ierobežojuma;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saņemt vienu sūtījumu vai pienesumu mēnesī vai vienu sūtījumu vai pienesumu soda izpildes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izmantot tiesības, kas paredzētas </w:t>
            </w:r>
            <w:r w:rsidR="00000000" w:rsidRPr="00000000" w:rsidDel="00000000">
              <w:rPr>
                <w:rtl w:val="0"/>
              </w:rPr>
              <w:t xml:space="preserve">121. </w:t>
            </w:r>
            <w:r w:rsidR="00000000" w:rsidRPr="00000000" w:rsidDel="00000000">
              <w:rPr>
                <w:rtl w:val="0"/>
              </w:rPr>
              <w:t xml:space="preserve">panta</w:t>
            </w:r>
            <w:r w:rsidR="00000000" w:rsidRPr="00000000" w:rsidDel="00000000">
              <w:rPr>
                <w:rtl w:val="0"/>
              </w:rPr>
              <w:t xml:space="preserve"> 4.–14.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lūdzam precizēt 5. punktu, papildinot ar vārdiem "šā likuma" un katru 121. panta punktu uzskaitot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izmantot tiesības, kas paredzētas šā likuma 121. panta 4., 5., 6.,7., 8., 9., 10., 11., 12., 13. un 14.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Notiesātais var piedalīties piedalīties audzināšanas iestādes nepilngadīgajiem un tās apkārtējās teritorijas uzturēšanā, labiekārtošanā un sadzīves apstākļu uzlabošanā.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izslēdzot vārdu,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Notiesātajam, kas iesaistīts atkarību mazināšanas programmā, var piemērot </w:t>
            </w:r>
            <w:r w:rsidR="00000000" w:rsidRPr="00000000" w:rsidDel="00000000">
              <w:rPr>
                <w:rtl w:val="0"/>
              </w:rPr>
              <w:t xml:space="preserve">130. </w:t>
            </w:r>
            <w:r w:rsidR="00000000" w:rsidRPr="00000000" w:rsidDel="00000000">
              <w:rPr>
                <w:rtl w:val="0"/>
              </w:rPr>
              <w:t xml:space="preserve">panta</w:t>
            </w:r>
            <w:r w:rsidR="00000000" w:rsidRPr="00000000" w:rsidDel="00000000">
              <w:rPr>
                <w:rtl w:val="0"/>
              </w:rPr>
              <w:t xml:space="preserve"> 1., 4. un 8. punktā minētos pamudinājumus. Notiesātajam, kas iesaistīts atkarību mazināšanas programmā, var piešķirt pamudinājumu – tiesības uz videosaziņu, ja papildus </w:t>
            </w:r>
            <w:r w:rsidR="00000000" w:rsidRPr="00000000" w:rsidDel="00000000">
              <w:rPr>
                <w:rtl w:val="0"/>
              </w:rPr>
              <w:t xml:space="preserve">130. </w:t>
            </w:r>
            <w:r w:rsidR="00000000" w:rsidRPr="00000000" w:rsidDel="00000000">
              <w:rPr>
                <w:rtl w:val="0"/>
              </w:rPr>
              <w:t xml:space="preserve">pantā</w:t>
            </w:r>
            <w:r w:rsidR="00000000" w:rsidRPr="00000000" w:rsidDel="00000000">
              <w:rPr>
                <w:rtl w:val="0"/>
              </w:rPr>
              <w:t xml:space="preserve"> minētajiem nosacījumiem kontaktēšanās ar radiniekiem, laulāto vai partneri var labvēlīgi ietekmēt notiesātā resocializācijas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lūdzam precizēt, papildinot ar vārdiem "šā 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Notiesātajam, kas iesaistīts atkarību mazināšanas programmā, var piemērot šā likuma 130. panta 1., 4. un 8. punktā minētos pamudinājumus. Notiesātajam, kas iesaistīts atkarību mazināšanas programmā, var piešķirt pamudinājumu – tiesības uz videosaziņu, ja papildus šā likuma 130. pantā minētajiem nosacījumiem kontaktēšanās ar radiniekiem, laulāto vai partneri var labvēlīgi ietekmēt notiesātā resocializācijas procesu.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Probācijas uzraudzības izpilde un tās termiņa tecējums tiek apturēts ar dienu, kad tiesai nosūtīts iesniegums par probācijas uzraudzības aizstāšanu ar brīvības atņemšanu vai par atbrīvošanu no probācijas uzraudzības </w:t>
            </w:r>
            <w:r w:rsidR="00000000" w:rsidRPr="00000000" w:rsidDel="00000000">
              <w:rPr>
                <w:rtl w:val="0"/>
              </w:rPr>
              <w:t xml:space="preserve">219. </w:t>
            </w:r>
            <w:r w:rsidR="00000000" w:rsidRPr="00000000" w:rsidDel="00000000">
              <w:rPr>
                <w:rtl w:val="0"/>
              </w:rPr>
              <w:t xml:space="preserve">pantā</w:t>
            </w:r>
            <w:r w:rsidR="00000000" w:rsidRPr="00000000" w:rsidDel="00000000">
              <w:rPr>
                <w:rtl w:val="0"/>
              </w:rPr>
              <w:t xml:space="preserve"> minētajā gadījumā vai par probācijas uzraudzības atcelšanu šā likuma </w:t>
            </w:r>
            <w:r w:rsidR="00000000" w:rsidRPr="00000000" w:rsidDel="00000000">
              <w:rPr>
                <w:rtl w:val="0"/>
              </w:rPr>
              <w:t xml:space="preserve">220. </w:t>
            </w:r>
            <w:r w:rsidR="00000000" w:rsidRPr="00000000" w:rsidDel="00000000">
              <w:rPr>
                <w:rtl w:val="0"/>
              </w:rPr>
              <w:t xml:space="preserve">pantā</w:t>
            </w:r>
            <w:r w:rsidR="00000000" w:rsidRPr="00000000" w:rsidDel="00000000">
              <w:rPr>
                <w:rtl w:val="0"/>
              </w:rPr>
              <w:t xml:space="preserve"> minētajā gadījumā vai par tās atcelšanu vai termiņa samazināšanu šā likuma </w:t>
            </w:r>
            <w:r w:rsidR="00000000" w:rsidRPr="00000000" w:rsidDel="00000000">
              <w:rPr>
                <w:rtl w:val="0"/>
              </w:rPr>
              <w:t xml:space="preserve">228. </w:t>
            </w:r>
            <w:r w:rsidR="00000000" w:rsidRPr="00000000" w:rsidDel="00000000">
              <w:rPr>
                <w:rtl w:val="0"/>
              </w:rPr>
              <w:t xml:space="preserve">pantā</w:t>
            </w:r>
            <w:r w:rsidR="00000000" w:rsidRPr="00000000" w:rsidDel="00000000">
              <w:rPr>
                <w:rtl w:val="0"/>
              </w:rPr>
              <w:t xml:space="preserve">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lūdzam precizēt, papildinot ar vārdiem "šā likuma" pirms atsauces uz 219.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Sabiedriskā darba izpilde tiek apturēta ar dienu, kad tiesai nosūtīts iesniegums par atbrīvošanu no turpmākās soda izpildes </w:t>
            </w:r>
            <w:r w:rsidR="00000000" w:rsidRPr="00000000" w:rsidDel="00000000">
              <w:rPr>
                <w:rtl w:val="0"/>
              </w:rPr>
              <w:t xml:space="preserve">219.</w:t>
            </w:r>
            <w:r w:rsidR="00000000" w:rsidRPr="00000000" w:rsidDel="00000000">
              <w:rPr>
                <w:rtl w:val="0"/>
              </w:rPr>
              <w:t xml:space="preserve"> un </w:t>
            </w:r>
            <w:r w:rsidR="00000000" w:rsidRPr="00000000" w:rsidDel="00000000">
              <w:rPr>
                <w:rtl w:val="0"/>
              </w:rPr>
              <w:t xml:space="preserve">232. </w:t>
            </w:r>
            <w:r w:rsidR="00000000" w:rsidRPr="00000000" w:rsidDel="00000000">
              <w:rPr>
                <w:rtl w:val="0"/>
              </w:rPr>
              <w:t xml:space="preserve">pantā</w:t>
            </w:r>
            <w:r w:rsidR="00000000" w:rsidRPr="00000000" w:rsidDel="00000000">
              <w:rPr>
                <w:rtl w:val="0"/>
              </w:rPr>
              <w:t xml:space="preserve"> minētajos gadījumos vai par sabiedriskā darba aizstāšanu ar probācijas uzraudzību vai sabiedriskā darba atcelšanu šā likuma </w:t>
            </w:r>
            <w:r w:rsidR="00000000" w:rsidRPr="00000000" w:rsidDel="00000000">
              <w:rPr>
                <w:rtl w:val="0"/>
              </w:rPr>
              <w:t xml:space="preserve">220. </w:t>
            </w:r>
            <w:r w:rsidR="00000000" w:rsidRPr="00000000" w:rsidDel="00000000">
              <w:rPr>
                <w:rtl w:val="0"/>
              </w:rPr>
              <w:t xml:space="preserve">pantā</w:t>
            </w:r>
            <w:r w:rsidR="00000000" w:rsidRPr="00000000" w:rsidDel="00000000">
              <w:rPr>
                <w:rtl w:val="0"/>
              </w:rPr>
              <w:t xml:space="preserve"> ​​​​​​​minētajā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lūdzam precizēt, papildinot ar vārdiem "šā likuma" pirms atsauces uz 219.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pārejas noteikumi nebūtu papildināmi ar jaunu punktu, kas noteiktu, ka ar šā likuma spēkā stāšanos spēku zaudē Latvijas Sodu izpildes kodekss.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minētais tiks noteikts likumā - vēršam uzmanību, ka gadījumā, ja spēkā esošā tiesību akta atzīšana par spēku zaudējušu ir paredzēta izstrādātajā tiesību akta projektā, to norāda anotācijas 1. sadaļā "cita informācija" (skat. skaidrojuma "Vadlīniju tiesību akta projekta sākotnējās ietekmes novērtēšanai un novērtējuma ziņojuma sagatavošanai vienotajā tiesību aktu izstrādes un saskaņošanas portālā" 43. lpp.). Līdz ar to būtu precizējama arī anotācijas 1.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w:t>
            </w:r>
            <w:r w:rsidR="00000000" w:rsidRPr="00000000" w:rsidDel="00000000">
              <w:rPr>
                <w:rtl w:val="0"/>
              </w:rPr>
              <w:t xml:space="preserve">41. </w:t>
            </w:r>
            <w:r w:rsidR="00000000" w:rsidRPr="00000000" w:rsidDel="00000000">
              <w:rPr>
                <w:rtl w:val="0"/>
              </w:rPr>
              <w:t xml:space="preserve">panta</w:t>
            </w:r>
            <w:r w:rsidR="00000000" w:rsidRPr="00000000" w:rsidDel="00000000">
              <w:rPr>
                <w:rtl w:val="0"/>
              </w:rPr>
              <w:t xml:space="preserve"> pirmajā daļā ietvertais regulējums, ka notiesāto ievietošanu konkrētā brīvības atņemšanas iestādē nosaka Pārvaldes priekšnieks, ņemot vērā arī notiesātā resocializācijas vajadzības, stājas spēkā 2028.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juridiskajai tehnikai lūdzam precizēt, papildinot ar vārdu "šā".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41. panta pirmajā daļā ietvertais regulējums, ka notiesāto ievietošanu konkrētā brīvības atņemšanas iestādē nosaka Pārvaldes priekšnieks, ņemot vērā arī notiesātā resocializācijas vajadzības, stājas spēkā 2028. gada 1. 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mērķis ir vērsts uz sabiedrības drošības vairošanu, tostarp cieņu un lojalitāti pret valsti un valsts valodu, rosinām apsvērt iespēju veikt tiesību akta ex-post ietekmes izvērtēšanu trīs līdz piecu gadu laikā no tā spēkā stāšanās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Ex-post izvērtējums ir veicams ar mērķi noskaidrot, kā ir praksē ieviestas likuma prasības, vai ir sasniegts likuma mērķis un kāda ir regulējuma ietekme uz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Nr.617 "Tiesību akta projekta sākotnējās ietekmes izvērtēšanas kārtība" 20.punktu, ja projektam paredzēta tiesību akta pēcpārbaudes ietekmes (ex-post) izvērtēšana, šo informāciju iekļauj anotācijā, norādot pamatojumu, termiņu, kā arī projekta mērķa sasniegšanas rezultātus un to vērtēšanas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novērtējuma rezultāti var kalpot kā pamats lēmumam par tiesību akta pārskatīšanu, tādējādi uzlabojot regulējuma kvalitāti, aktualitāti un efektivitāti. Tie var būt arī pamats jaunām iniciatīvām, kas veicina tiesību akta mērķu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šobrīd aktīvi stiprina tiesību aktu izvērtēšanas praksi – izstrādājot ex-post ietekmes novērtēšanas vadlīnijas, īstenojot vairākus pilotprojektus un nodrošinot atbalstu prasmju pilnveidei valsts pārvaldē. Plānots, ka 2025. gadā tiks pabeigta vadlīniju izstrāde un organizētas apmācības ministriju speciālistiem, lai atbalstītu normatīvo aktu izstrādātājus un ieviesējus ex-post izvērtējumu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 2024. gada Valsts kanceleja sniedz gan metodisku, gan finansiālu atbalstu nozaru ministrijām tiesību aktu ar augstu ietekmes līmeni ex-post izvērtēšanai. Šādu atbalstu iecerēts turpināt, attīstot izvērtēšanas praksi un veicinot kvalitatīvāku un efektīvāku normatīvo aktu izstrādi un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Ciukša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aprakstā ir norādīts uz kurām personām attieksies jaunais kriminālsoda izpildes regulējums, savukārt nav iekļauts ietekmes apraksts. Lūdzu papildināt aprakstu ar faktisko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26.08.2025. 17.46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25-TA-931</w:t>
    </w:r>
    <w:r>
      <w:br/>
    </w:r>
    <w:r w:rsidR="00000000" w:rsidRPr="00000000" w:rsidDel="00000000">
      <w:rPr>
        <w:rtl w:val="0"/>
      </w:rPr>
      <w:t xml:space="preserve">Izdrukāts 26.08.2025. 17.46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Atzinumi_25-TA-931.docx</dc:title>
</cp:coreProperties>
</file>

<file path=docProps/custom.xml><?xml version="1.0" encoding="utf-8"?>
<Properties xmlns="http://schemas.openxmlformats.org/officeDocument/2006/custom-properties" xmlns:vt="http://schemas.openxmlformats.org/officeDocument/2006/docPropsVTypes"/>
</file>