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marta rīkojumā Nr. 168 "Par 2.1.3.1.i. investīcijas projekta "Vēlēšanu procesa digitalizācija un automatizācija"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anotācijas 8.1.12. apakšpunktu, jo ir norādīts, ka skar šo jomu, bet nav sniegts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admnistrācijas un reģionālās attīstības ministrijai uzaicināt finansējuma saņēmēju – Valsts digitālās attīstības aģentūru – iesniegt projekta iesniegumu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(turpmāk – 2.1.3.1.i. investīcija)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attiecas uz rīkojuma projektā precizētiem institūciju nosaukumiem, skaidrojot attiecīgo izmaiņu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07.02.2025.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07.02.2025.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Atzinumi_25-TA-181.docx</dc:title>
</cp:coreProperties>
</file>

<file path=docProps/custom.xml><?xml version="1.0" encoding="utf-8"?>
<Properties xmlns="http://schemas.openxmlformats.org/officeDocument/2006/custom-properties" xmlns:vt="http://schemas.openxmlformats.org/officeDocument/2006/docPropsVTypes"/>
</file>